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header3.xml" ContentType="application/vnd.openxmlformats-officedocument.wordprocessingml.header+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0" w:after="0"/>
        <w:jc w:val="center"/>
        <w:rPr/>
      </w:pPr>
      <w:r>
        <w:rPr/>
      </w:r>
    </w:p>
    <w:p>
      <w:pPr>
        <w:pStyle w:val="ResumeSection"/>
        <w:keepNext w:val="true"/>
        <w:keepLines/>
        <w:widowControl/>
        <w:pBdr>
          <w:bottom w:val="single" w:sz="4" w:space="5" w:color="D6D3CD"/>
        </w:pBdr>
        <w:spacing w:lineRule="auto" w:line="240" w:before="190" w:after="120"/>
        <w:jc w:val="center"/>
        <w:rPr/>
      </w:pPr>
      <w:r>
        <w:rPr>
          <w:rFonts w:ascii="Arial" w:hAnsi="Arial"/>
          <w:b/>
          <w:bCs/>
          <w:color w:val="1E1E1E"/>
          <w:sz w:val="64"/>
          <w:szCs w:val="64"/>
        </w:rPr>
        <w:t>Joseph Bulynko</w:t>
      </w:r>
      <w:r>
        <w:rPr>
          <w:b/>
          <w:i w:val="false"/>
          <w:color w:val="676767"/>
          <w:spacing w:val="3"/>
          <w:sz w:val="15"/>
        </w:rPr>
        <w:br/>
      </w:r>
      <w:r>
        <w:rPr>
          <w:b/>
          <w:i w:val="false"/>
          <w:color w:val="676767"/>
          <w:spacing w:val="3"/>
          <w:sz w:val="28"/>
          <w:szCs w:val="28"/>
        </w:rPr>
        <w:t xml:space="preserve">Senior / Principal Product Manager </w:t>
      </w:r>
    </w:p>
    <w:p>
      <w:pPr>
        <w:pStyle w:val="Normal"/>
        <w:widowControl/>
        <w:pBdr>
          <w:bottom w:val="single" w:sz="4" w:space="5" w:color="D6D3CD"/>
        </w:pBdr>
        <w:spacing w:lineRule="auto" w:line="240" w:before="0" w:after="30"/>
        <w:jc w:val="center"/>
        <w:rPr/>
      </w:pPr>
      <w:hyperlink r:id="rId2">
        <w:r>
          <w:rPr>
            <w:rStyle w:val="Style"/>
            <w:b/>
            <w:i w:val="false"/>
            <w:color w:val="676767"/>
            <w:spacing w:val="2"/>
            <w:sz w:val="14"/>
            <w:u w:val="none"/>
          </w:rPr>
          <w:t>Joseph.Bulynko@g</w:t>
        </w:r>
      </w:hyperlink>
      <w:r>
        <w:rPr>
          <w:b/>
          <w:i w:val="false"/>
          <w:color w:val="676767"/>
          <w:spacing w:val="2"/>
          <w:sz w:val="14"/>
          <w:u w:val="none"/>
        </w:rPr>
        <w:t>mail.com</w:t>
      </w:r>
      <w:r>
        <w:rPr>
          <w:b/>
          <w:i w:val="false"/>
          <w:color w:val="B58B45"/>
          <w:spacing w:val="2"/>
          <w:sz w:val="13"/>
          <w:u w:val="none"/>
        </w:rPr>
        <w:t xml:space="preserve">  |  </w:t>
      </w:r>
      <w:hyperlink r:id="rId3">
        <w:r>
          <w:rPr>
            <w:rStyle w:val="Style"/>
            <w:b/>
            <w:i w:val="false"/>
            <w:color w:val="676767"/>
            <w:spacing w:val="2"/>
            <w:sz w:val="14"/>
            <w:u w:val="none"/>
          </w:rPr>
          <w:t>Mobile: 571-531-0061</w:t>
        </w:r>
      </w:hyperlink>
      <w:r>
        <w:rPr>
          <w:b/>
          <w:i w:val="false"/>
          <w:color w:val="B58B45"/>
          <w:spacing w:val="2"/>
          <w:sz w:val="13"/>
          <w:u w:val="none"/>
        </w:rPr>
        <w:t xml:space="preserve">  |  </w:t>
      </w:r>
      <w:hyperlink r:id="rId4">
        <w:r>
          <w:rPr>
            <w:rStyle w:val="Style"/>
            <w:b/>
            <w:i w:val="false"/>
            <w:color w:val="676767"/>
            <w:spacing w:val="2"/>
            <w:sz w:val="14"/>
            <w:u w:val="none"/>
          </w:rPr>
          <w:t>L</w:t>
        </w:r>
      </w:hyperlink>
      <w:r>
        <w:rPr>
          <w:b/>
          <w:i w:val="false"/>
          <w:color w:val="676767"/>
          <w:spacing w:val="2"/>
          <w:sz w:val="14"/>
          <w:u w:val="none"/>
        </w:rPr>
        <w:t>inkedin.com/in/joseph-bulynko</w:t>
      </w:r>
      <w:r>
        <w:rPr>
          <w:b/>
          <w:i w:val="false"/>
          <w:color w:val="B58B45"/>
          <w:spacing w:val="2"/>
          <w:sz w:val="13"/>
          <w:u w:val="none"/>
        </w:rPr>
        <w:t xml:space="preserve">  |  </w:t>
      </w:r>
      <w:r>
        <w:rPr>
          <w:b/>
          <w:i w:val="false"/>
          <w:color w:val="676767"/>
          <w:spacing w:val="2"/>
          <w:sz w:val="13"/>
          <w:u w:val="none"/>
        </w:rPr>
        <w:t>Washington DC Metro / Remote/Hybrid</w:t>
      </w:r>
      <w:r>
        <w:rPr>
          <w:b/>
          <w:i w:val="false"/>
          <w:color w:val="676767"/>
          <w:spacing w:val="2"/>
          <w:sz w:val="14"/>
          <w:u w:val="none"/>
        </w:rPr>
        <w:br/>
      </w:r>
      <w:hyperlink r:id="rIdPortfolio20261023">
        <w:r>
          <w:rPr>
            <w:rStyle w:val="Style"/>
            <w:b/>
            <w:i w:val="false"/>
            <w:color w:val="676767"/>
            <w:spacing w:val="2"/>
            <w:sz w:val="14"/>
            <w:u w:val="none"/>
          </w:rPr>
          <w:t>Portfolio: joseph.wellne.ss</w:t>
        </w:r>
      </w:hyperlink>
    </w:p>
    <w:p>
      <w:pPr>
        <w:pStyle w:val="ResumeSection"/>
        <w:keepNext w:val="true"/>
        <w:keepLines/>
        <w:widowControl/>
        <w:pBdr>
          <w:bottom w:val="single" w:sz="4" w:space="5" w:color="D6D3CD"/>
        </w:pBdr>
        <w:spacing w:lineRule="auto" w:line="240" w:before="190" w:after="120"/>
        <w:rPr>
          <w:b w:val="false"/>
          <w:bCs w:val="false"/>
        </w:rPr>
      </w:pPr>
      <w:r>
        <w:rPr>
          <w:rFonts w:ascii="Arial" w:hAnsi="Arial"/>
          <w:b w:val="false"/>
          <w:bCs w:val="false"/>
          <w:i w:val="false"/>
          <w:color w:val="171717"/>
          <w:spacing w:val="31"/>
          <w:sz w:val="23"/>
        </w:rPr>
        <w:t>PRODUCT LEADERSHIP PROFILE</w:t>
      </w:r>
    </w:p>
    <w:p>
      <w:pPr>
        <w:pStyle w:val="ResumeBody"/>
        <w:keepNext w:val="false"/>
        <w:keepLines/>
        <w:widowControl/>
        <w:spacing w:lineRule="auto" w:line="266" w:before="0" w:after="102"/>
        <w:rPr/>
      </w:pPr>
      <w:r>
        <w:rPr>
          <w:rFonts w:ascii="Arial" w:hAnsi="Arial"/>
          <w:b w:val="false"/>
          <w:i w:val="false"/>
          <w:color w:val="3E3E3E"/>
          <w:sz w:val="19"/>
        </w:rPr>
        <w:t>Product and technology leader with 20+ years of experience, focused on enterprise platforms, customer communications, and regulated digital journeys. Connects customer needs and technical capabilities to product vision, outcome-based roadmaps, and full-life cycle delivery. Combines customer research, product analytics, commercial judgment, and cross-functional leadership to improve adoption, operational performance, and business value.</w:t>
      </w:r>
    </w:p>
    <w:p>
      <w:pPr>
        <w:pStyle w:val="ResumeBody"/>
        <w:keepNext w:val="false"/>
        <w:keepLines/>
        <w:widowControl/>
        <w:spacing w:lineRule="auto" w:line="266" w:before="0" w:after="102"/>
        <w:rPr/>
      </w:pPr>
      <w:r>
        <w:rPr>
          <w:rFonts w:ascii="Arial" w:hAnsi="Arial"/>
          <w:b w:val="false"/>
          <w:i w:val="false"/>
          <w:color w:val="3E3E3E"/>
          <w:sz w:val="19"/>
        </w:rPr>
        <w:t>Brings enterprise integration across 20+ systems, regulated mobile repayment prompts at Capital One, and a hospitality retargeting product adopted by about 2,000 customers. Aligns engineering, design, operations, security, and executives around clear requirements, priorities, and measurable outcomes. Turns ambiguous needs into delivery plans, manages dependencies and trade-offs, and balances customer experience, reliability, compliance, and growth across distributed teams.</w:t>
      </w:r>
    </w:p>
    <w:tbl>
      <w:tblPr>
        <w:tblW w:w="10656" w:type="dxa"/>
        <w:jc w:val="left"/>
        <w:tblInd w:w="-18" w:type="dxa"/>
        <w:tblLayout w:type="fixed"/>
        <w:tblCellMar>
          <w:top w:w="100" w:type="dxa"/>
          <w:left w:w="90" w:type="dxa"/>
          <w:bottom w:w="105" w:type="dxa"/>
          <w:right w:w="90" w:type="dxa"/>
        </w:tblCellMar>
        <w:tblLook w:val="04a0" w:firstRow="1" w:noVBand="1" w:lastRow="0" w:firstColumn="1" w:lastColumn="0" w:noHBand="0"/>
      </w:tblPr>
      <w:tblGrid>
        <w:gridCol w:w="2664"/>
        <w:gridCol w:w="2664"/>
        <w:gridCol w:w="2665"/>
        <w:gridCol w:w="2663"/>
      </w:tblGrid>
      <w:tr>
        <w:trPr>
          <w:tblHeader w:val="true"/>
        </w:trPr>
        <w:tc>
          <w:tcPr>
            <w:tcW w:w="2664" w:type="dxa"/>
            <w:tcBorders/>
            <w:shd w:fill="F7F5F1" w:val="clear"/>
            <w:vAlign w:val="center"/>
          </w:tcPr>
          <w:p>
            <w:pPr>
              <w:pStyle w:val="Normal"/>
              <w:spacing w:lineRule="auto" w:line="240" w:before="0" w:after="0"/>
              <w:jc w:val="center"/>
              <w:rPr/>
            </w:pPr>
            <w:r>
              <w:rPr>
                <w:b/>
                <w:i w:val="false"/>
                <w:color w:val="B58B45"/>
                <w:sz w:val="27"/>
              </w:rPr>
              <w:t>20+</w:t>
            </w:r>
            <w:r>
              <w:rPr>
                <w:b/>
                <w:i w:val="false"/>
                <w:color w:val="676767"/>
                <w:spacing w:val="9"/>
                <w:sz w:val="14"/>
              </w:rPr>
              <w:br/>
              <w:t>YEARS IN PRODUCT AND TECHNOLOGY</w:t>
            </w:r>
          </w:p>
        </w:tc>
        <w:tc>
          <w:tcPr>
            <w:tcW w:w="2664" w:type="dxa"/>
            <w:tcBorders/>
            <w:shd w:fill="F7F5F1" w:val="clear"/>
            <w:vAlign w:val="center"/>
          </w:tcPr>
          <w:p>
            <w:pPr>
              <w:pStyle w:val="Normal"/>
              <w:spacing w:lineRule="auto" w:line="240" w:before="0" w:after="0"/>
              <w:jc w:val="center"/>
              <w:rPr/>
            </w:pPr>
            <w:r>
              <w:rPr>
                <w:b/>
                <w:i w:val="false"/>
                <w:color w:val="B58B45"/>
                <w:sz w:val="27"/>
              </w:rPr>
              <w:t>1,200+</w:t>
            </w:r>
            <w:r>
              <w:rPr>
                <w:b/>
                <w:i w:val="false"/>
                <w:color w:val="676767"/>
                <w:spacing w:val="9"/>
                <w:sz w:val="14"/>
              </w:rPr>
              <w:br/>
              <w:t>PRODUCT AND WEBSITE LAUNCHES</w:t>
            </w:r>
          </w:p>
        </w:tc>
        <w:tc>
          <w:tcPr>
            <w:tcW w:w="2665" w:type="dxa"/>
            <w:tcBorders/>
            <w:shd w:fill="F7F5F1" w:val="clear"/>
            <w:vAlign w:val="center"/>
          </w:tcPr>
          <w:p>
            <w:pPr>
              <w:pStyle w:val="Normal"/>
              <w:spacing w:lineRule="auto" w:line="240" w:before="0" w:after="0"/>
              <w:jc w:val="center"/>
              <w:rPr/>
            </w:pPr>
            <w:r>
              <w:rPr>
                <w:b/>
                <w:i w:val="false"/>
                <w:color w:val="B58B45"/>
                <w:sz w:val="27"/>
              </w:rPr>
              <w:t>10-15</w:t>
            </w:r>
            <w:r>
              <w:rPr>
                <w:b/>
                <w:i w:val="false"/>
                <w:color w:val="676767"/>
                <w:spacing w:val="9"/>
                <w:sz w:val="14"/>
              </w:rPr>
              <w:br/>
              <w:t>TYPICAL CROSS-FUNCTIONAL PRODUCT TEAM SIZE</w:t>
            </w:r>
          </w:p>
        </w:tc>
        <w:tc>
          <w:tcPr>
            <w:tcW w:w="2663" w:type="dxa"/>
            <w:tcBorders/>
            <w:shd w:fill="F7F5F1" w:val="clear"/>
            <w:vAlign w:val="center"/>
          </w:tcPr>
          <w:p>
            <w:pPr>
              <w:pStyle w:val="Normal"/>
              <w:spacing w:lineRule="auto" w:line="240" w:before="0" w:after="0"/>
              <w:jc w:val="center"/>
              <w:rPr/>
            </w:pPr>
            <w:r>
              <w:rPr>
                <w:b/>
                <w:i w:val="false"/>
                <w:color w:val="B58B45"/>
                <w:sz w:val="27"/>
              </w:rPr>
              <w:t>99.95%</w:t>
            </w:r>
            <w:r>
              <w:rPr>
                <w:b/>
                <w:i w:val="false"/>
                <w:color w:val="676767"/>
                <w:spacing w:val="9"/>
                <w:sz w:val="14"/>
              </w:rPr>
              <w:br/>
              <w:t>AUTOMATED E2E PASS COVERAGE</w:t>
            </w:r>
          </w:p>
        </w:tc>
      </w:tr>
    </w:tbl>
    <w:p>
      <w:pPr>
        <w:pStyle w:val="Normal"/>
        <w:keepNext w:val="false"/>
        <w:keepLines w:val="false"/>
        <w:widowControl/>
        <w:spacing w:lineRule="auto" w:line="240" w:before="0" w:after="0"/>
        <w:rPr/>
      </w:pPr>
      <w:r>
        <w:rPr/>
      </w:r>
    </w:p>
    <w:p>
      <w:pPr>
        <w:pStyle w:val="ResumeSection"/>
        <w:keepNext w:val="true"/>
        <w:keepLines/>
        <w:widowControl/>
        <w:pBdr>
          <w:bottom w:val="single" w:sz="4" w:space="5" w:color="D6D3CD"/>
        </w:pBdr>
        <w:bidi w:val="0"/>
        <w:spacing w:lineRule="auto" w:line="240" w:before="190" w:after="120"/>
        <w:rPr/>
      </w:pPr>
      <w:r>
        <w:rPr>
          <w:rFonts w:ascii="Arial" w:hAnsi="Arial"/>
          <w:b w:val="false"/>
          <w:i w:val="false"/>
          <w:color w:val="171717"/>
          <w:spacing w:val="31"/>
          <w:sz w:val="23"/>
        </w:rPr>
        <w:t>RECENT AI</w:t>
      </w:r>
      <w:r>
        <w:rPr>
          <w:rFonts w:ascii="Arial" w:hAnsi="Arial"/>
          <w:b w:val="false"/>
          <w:i w:val="false"/>
          <w:color w:val="171717"/>
          <w:spacing w:val="31"/>
          <w:sz w:val="23"/>
        </w:rPr>
        <w:t xml:space="preserve"> &amp; </w:t>
      </w:r>
      <w:r>
        <w:rPr>
          <w:rFonts w:ascii="Arial" w:hAnsi="Arial"/>
          <w:b w:val="false"/>
          <w:i w:val="false"/>
          <w:color w:val="171717"/>
          <w:spacing w:val="31"/>
          <w:sz w:val="23"/>
        </w:rPr>
        <w:t>AGENTIC PRODUCT DELIVERY</w:t>
      </w:r>
    </w:p>
    <w:p>
      <w:pPr>
        <w:pStyle w:val="ResumeBullet"/>
        <w:widowControl/>
        <w:numPr>
          <w:ilvl w:val="0"/>
          <w:numId w:val="7"/>
        </w:numPr>
        <w:bidi w:val="0"/>
        <w:spacing w:lineRule="auto" w:line="264" w:before="0" w:after="74"/>
        <w:ind w:hanging="230" w:left="317"/>
        <w:rPr>
          <w:b w:val="false"/>
          <w:i w:val="false"/>
          <w:color w:val="3E3E3E"/>
          <w:sz w:val="19"/>
        </w:rPr>
      </w:pPr>
      <w:r>
        <w:rPr>
          <w:b w:val="1"/>
          <w:i w:val="false"/>
          <w:color w:val="3E3E3E"/>
          <w:sz w:val="19"/>
          <w:bCs w:val="1"/>
        </w:rPr>
        <w:t xml:space="preserve">FEMA / Capital One</w:t>
      </w:r>
      <w:r>
        <w:rPr>
          <w:b w:val="0"/>
          <w:i w:val="false"/>
          <w:color w:val="3E3E3E"/>
          <w:sz w:val="19"/>
          <w:bCs w:val="0"/>
        </w:rPr>
        <w:t xml:space="preserve"> </w:t>
      </w:r>
      <w:r>
        <w:rPr>
          <w:b w:val="0"/>
          <w:i w:val="false"/>
          <w:color w:val="3E3E3E"/>
          <w:sz w:val="19"/>
          <w:bCs w:val="0"/>
        </w:rPr>
        <w:t>Enterprise AI delivery approach:</w:t>
      </w:r>
      <w:r>
        <w:rPr>
          <w:b w:val="0"/>
          <w:i w:val="false"/>
          <w:color w:val="3E3E3E"/>
          <w:sz w:val="19"/>
          <w:bCs w:val="0"/>
        </w:rPr>
        <w:t xml:space="preserve"> Across these builds, applied generative AI/LLMs, agentic orchestration, AI agents, RAG, APIs/connectors, tool use, structured context/memory, prompt and context engineering, model/tool selection and evaluation, workflow automation, human-in-the-loop review, responsible-AI guardrails, privacy/security controls, and adoption-oriented UX - aligning prototypes with the integration, governance, operational, and scale considerations required for enterprise AI.</w:t>
      </w:r>
    </w:p>
    <w:p>
      <w:pPr>
        <w:pStyle w:val="ResumeBullet"/>
        <w:widowControl/>
        <w:numPr>
          <w:ilvl w:val="0"/>
          <w:numId w:val="7"/>
        </w:numPr>
        <w:bidi w:val="0"/>
        <w:spacing w:lineRule="auto" w:line="264" w:before="0" w:after="74"/>
        <w:ind w:hanging="230" w:left="317"/>
        <w:rPr>
          <w:b/>
          <w:bCs/>
          <w:i w:val="false"/>
          <w:color w:val="3E3E3E"/>
          <w:sz w:val="19"/>
        </w:rPr>
      </w:pPr>
      <w:r>
        <w:rPr>
          <w:b w:val="1"/>
          <w:bCs w:val="1"/>
          <w:i w:val="false"/>
          <w:color w:val="3E3E3E"/>
          <w:sz w:val="19"/>
        </w:rPr>
        <w:t xml:space="preserve">Start with Reflexology</w:t>
      </w:r>
      <w:r>
        <w:rPr>
          <w:b w:val="0"/>
          <w:bCs w:val="0"/>
          <w:i w:val="false"/>
          <w:color w:val="3E3E3E"/>
          <w:sz w:val="19"/>
        </w:rPr>
        <w:t xml:space="preserve"> - AI-enabled digital school: </w:t>
      </w:r>
      <w:r>
        <w:rPr>
          <w:b w:val="0"/>
          <w:bCs w:val="0"/>
          <w:i w:val="false"/>
          <w:color w:val="3E3E3E"/>
          <w:sz w:val="19"/>
        </w:rPr>
        <w:t>Building an end-to-end online education and course platform spanning curriculum architecture, video lessons, student journeys, workbooks and practice assignments, checkout/onboarding/email funnels, forms, and launch operations, with AI-assisted curriculum and script drafting, worksheets, landing-page/email copy, content strategy, and marketing automation.</w:t>
      </w:r>
    </w:p>
    <w:p>
      <w:pPr>
        <w:pStyle w:val="ResumeBullet"/>
        <w:widowControl/>
        <w:numPr>
          <w:ilvl w:val="0"/>
          <w:numId w:val="7"/>
        </w:numPr>
        <w:bidi w:val="0"/>
        <w:spacing w:lineRule="auto" w:line="264" w:before="0" w:after="74"/>
        <w:ind w:hanging="230" w:left="317"/>
        <w:rPr>
          <w:b w:val="false"/>
          <w:i w:val="false"/>
          <w:color w:val="3E3E3E"/>
          <w:sz w:val="19"/>
        </w:rPr>
      </w:pPr>
      <w:r>
        <w:rPr>
          <w:b w:val="1"/>
          <w:bCs w:val="1"/>
          <w:i w:val="false"/>
          <w:color w:val="3E3E3E"/>
          <w:sz w:val="19"/>
        </w:rPr>
        <w:t xml:space="preserve">AI calling assistant</w:t>
      </w:r>
      <w:r>
        <w:rPr>
          <w:b w:val="0"/>
          <w:bCs w:val="0"/>
          <w:i w:val="false"/>
          <w:color w:val="3E3E3E"/>
          <w:sz w:val="19"/>
        </w:rPr>
        <w:t xml:space="preserve"> - OpenClaw + Twilio + OpenAI Realtime: </w:t>
      </w:r>
      <w:r>
        <w:rPr>
          <w:b w:val="0"/>
          <w:i w:val="false"/>
          <w:color w:val="3E3E3E"/>
          <w:sz w:val="19"/>
          <w:bCs w:val="0"/>
        </w:rPr>
        <w:t>Built/prototyped a voice-agent system for inbound and outbound calls with full-duplex conversation, interruption handling, DTMF/menu navigation, transcription and call history, plus controlled access to calendar, email, contacts, and web tools; designed approval gates, allowlists, duration/permission controls, and human confirmation before commitments.</w:t>
      </w:r>
    </w:p>
    <w:p>
      <w:pPr>
        <w:pStyle w:val="ResumeBullet"/>
        <w:widowControl/>
        <w:numPr>
          <w:ilvl w:val="0"/>
          <w:numId w:val="7"/>
        </w:numPr>
        <w:bidi w:val="0"/>
        <w:spacing w:lineRule="auto" w:line="264" w:before="0" w:after="74"/>
        <w:ind w:hanging="230" w:left="317"/>
        <w:rPr>
          <w:b w:val="false"/>
          <w:i w:val="false"/>
          <w:color w:val="3E3E3E"/>
          <w:sz w:val="19"/>
        </w:rPr>
      </w:pPr>
      <w:r>
        <w:rPr>
          <w:b w:val="1"/>
          <w:bCs w:val="1"/>
          <w:i w:val="false"/>
          <w:color w:val="3E3E3E"/>
          <w:sz w:val="19"/>
        </w:rPr>
        <w:t xml:space="preserve">Task Mind</w:t>
      </w:r>
      <w:r>
        <w:rPr>
          <w:b w:val="0"/>
          <w:bCs w:val="0"/>
          <w:i w:val="false"/>
          <w:color w:val="3E3E3E"/>
          <w:sz w:val="19"/>
        </w:rPr>
        <w:t xml:space="preserve"> - agentic project operating system: </w:t>
      </w:r>
      <w:r>
        <w:rPr>
          <w:b w:val="0"/>
          <w:i w:val="false"/>
          <w:color w:val="3E3E3E"/>
          <w:sz w:val="19"/>
          <w:bCs w:val="0"/>
        </w:rPr>
        <w:t>Building a multi-device AI command center that unifies projects, tasks, calendar, files, conversations, second-brain context, and AI agents; supports one canonical task record, human/AI ownership, "Your Turn" handoffs, approve/reject/delegate controls, agent status, ordered focus, voice access, and governed execution across email, calendar, and files.</w:t>
      </w:r>
    </w:p>
    <w:p>
      <w:pPr>
        <w:pStyle w:val="ResumeBullet"/>
        <w:widowControl/>
        <w:numPr>
          <w:ilvl w:val="0"/>
          <w:numId w:val="7"/>
        </w:numPr>
        <w:bidi w:val="0"/>
        <w:spacing w:lineRule="auto" w:line="264" w:before="0" w:after="74"/>
        <w:ind w:hanging="230" w:left="317"/>
        <w:rPr>
          <w:b w:val="false"/>
          <w:i w:val="false"/>
          <w:color w:val="3E3E3E"/>
          <w:sz w:val="19"/>
        </w:rPr>
      </w:pPr>
      <w:r>
        <w:rPr>
          <w:b w:val="1"/>
          <w:i w:val="false"/>
          <w:color w:val="3E3E3E"/>
          <w:sz w:val="19"/>
          <w:bCs w:val="1"/>
        </w:rPr>
        <w:t xml:space="preserve">Veterinary clinical workflow automation</w:t>
      </w:r>
      <w:r>
        <w:rPr>
          <w:b w:val="0"/>
          <w:i w:val="false"/>
          <w:color w:val="3E3E3E"/>
          <w:sz w:val="19"/>
          <w:bCs w:val="0"/>
        </w:rPr>
        <w:t xml:space="preserve">: Built and iterated an iPad anesthesia-log prototype for surgical operations with 5-minute HR/RR/SpO2/anesthetic prompts, 10-minute temperature reminders, tap-to-count vitals, timestamped medications/events, procedure and recovery tracking, weight-based emergency-drug calculations, code/resuscitation workflows, local case storage, PDF/JSON export, and a Shepherd attachment path; also designed a separate drug-log transformation/reconciliation workflow with preserved source/output versions and exception review. Anesthesia prototype validated through 111 automated tests.</w:t>
        <w:br/>
      </w:r>
    </w:p>
    <w:p>
      <w:pPr>
        <w:pStyle w:val="Normal"/>
        <w:keepNext w:val="false"/>
        <w:keepLines/>
        <w:widowControl/>
        <w:spacing w:lineRule="auto" w:line="278" w:before="80" w:after="100"/>
        <w:jc w:val="center"/>
        <w:rPr/>
      </w:pPr>
      <w:r>
        <w:rPr>
          <w:b/>
          <w:i w:val="false"/>
          <w:color w:val="676767"/>
          <w:spacing w:val="3"/>
          <w:sz w:val="15"/>
        </w:rPr>
        <w:t>COMMUNICATIONS | APIs | GOVERNANCE | RELIABILITY | CUSTOMER JOURNEYS | ROADMAPS | ADOPTION</w:t>
      </w:r>
    </w:p>
    <w:p>
      <w:pPr>
        <w:pStyle w:val="ResumeSection"/>
        <w:widowControl/>
        <w:pBdr>
          <w:bottom w:val="single" w:sz="4" w:space="5" w:color="D6D3CD"/>
        </w:pBdr>
        <w:spacing w:lineRule="auto" w:line="240" w:before="190" w:after="120"/>
        <w:rPr>
          <w:rFonts w:ascii="Arial" w:hAnsi="Arial"/>
          <w:b w:val="false"/>
          <w:i w:val="false"/>
          <w:color w:val="171717"/>
          <w:spacing w:val="31"/>
          <w:sz w:val="23"/>
        </w:rPr>
      </w:pPr>
      <w:r>
        <w:rPr>
          <w:rFonts w:ascii="Arial" w:hAnsi="Arial"/>
          <w:b w:val="false"/>
          <w:i w:val="false"/>
          <w:color w:val="171717"/>
          <w:spacing w:val="31"/>
          <w:sz w:val="23"/>
        </w:rPr>
        <w:br/>
        <w:t>PROFESSIONAL EXPERIENCE</w:t>
      </w:r>
    </w:p>
    <w:p>
      <w:pPr>
        <w:pStyle w:val="ResumeRole"/>
        <w:keepNext w:val="true"/>
        <w:keepLines/>
        <w:widowControl/>
        <w:tabs>
          <w:tab w:val="clear" w:pos="720"/>
          <w:tab w:val="right" w:pos="10296" w:leader="none"/>
        </w:tabs>
        <w:spacing w:lineRule="auto" w:line="240" w:before="100" w:after="24"/>
        <w:rPr/>
      </w:pPr>
      <w:r>
        <w:rPr>
          <w:rFonts w:ascii="Arial" w:hAnsi="Arial"/>
          <w:b/>
          <w:i w:val="false"/>
          <w:color w:val="171717"/>
          <w:sz w:val="20"/>
        </w:rPr>
        <w:t>Senior Product Manager, FEMA GO - Modernization &amp; Platform Delivery Lead</w:t>
      </w:r>
      <w:r>
        <w:rPr>
          <w:rFonts w:ascii="Arial" w:hAnsi="Arial"/>
          <w:b/>
          <w:i w:val="false"/>
          <w:color w:val="B58B45"/>
          <w:sz w:val="18"/>
        </w:rPr>
        <w:tab/>
      </w:r>
      <w:r>
        <w:rPr>
          <w:rFonts w:ascii="Arial" w:hAnsi="Arial"/>
          <w:b w:val="false"/>
          <w:bCs w:val="false"/>
          <w:i w:val="false"/>
          <w:color w:val="B58B45"/>
          <w:sz w:val="18"/>
        </w:rPr>
        <w:t>Apr 2024 – Aug 2026</w:t>
      </w:r>
    </w:p>
    <w:p>
      <w:pPr>
        <w:pStyle w:val="ResumeRoleMeta"/>
        <w:keepNext w:val="false"/>
        <w:keepLines/>
        <w:widowControl/>
        <w:spacing w:lineRule="auto" w:line="240" w:before="0" w:after="68"/>
        <w:rPr/>
      </w:pPr>
      <w:r>
        <w:rPr>
          <w:rFonts w:ascii="Arial" w:hAnsi="Arial"/>
          <w:b/>
          <w:bCs/>
          <w:i/>
          <w:color w:val="676767"/>
          <w:sz w:val="17"/>
        </w:rPr>
        <w:t>FEMA</w:t>
      </w:r>
      <w:r>
        <w:rPr>
          <w:rFonts w:ascii="Arial" w:hAnsi="Arial"/>
          <w:b w:val="false"/>
          <w:i/>
          <w:color w:val="676767"/>
          <w:sz w:val="17"/>
        </w:rPr>
        <w:t xml:space="preserve"> / OneGlobe / BAE Systems  |  100% Remote - Bryans Road, MD</w:t>
        <w:br/>
      </w:r>
    </w:p>
    <w:p>
      <w:pPr>
        <w:pStyle w:val="ResumeBody"/>
        <w:keepNext w:val="false"/>
        <w:keepLines/>
        <w:widowControl/>
        <w:spacing w:lineRule="auto" w:line="266" w:before="0" w:after="102"/>
        <w:rPr/>
      </w:pPr>
      <w:r>
        <w:rPr>
          <w:rFonts w:ascii="Arial" w:hAnsi="Arial"/>
          <w:b w:val="false"/>
          <w:i w:val="false"/>
          <w:color w:val="3E3E3E"/>
          <w:sz w:val="19"/>
        </w:rPr>
        <w:t>Owned product strategy, roadmaps, and platform modernization for FEMA GO, an enterprise grants ecosystem spanning application, eligibility, pre-award, award, monitoring, reporting, closeout, and audit support.</w:t>
      </w:r>
    </w:p>
    <w:p>
      <w:pPr>
        <w:pStyle w:val="ResumeBullet"/>
        <w:keepNext w:val="false"/>
        <w:keepLines/>
        <w:widowControl/>
        <w:numPr>
          <w:ilvl w:val="0"/>
          <w:numId w:val="7"/>
        </w:numPr>
        <w:spacing w:lineRule="auto" w:line="264" w:before="0" w:after="74"/>
        <w:ind w:hanging="230" w:left="317"/>
        <w:rPr/>
      </w:pPr>
      <w:r>
        <w:rPr>
          <w:b/>
          <w:i w:val="false"/>
          <w:color w:val="3E3E3E"/>
          <w:sz w:val="19"/>
        </w:rPr>
        <w:t>Modernization recovery and team leadership.</w:t>
      </w:r>
      <w:r>
        <w:rPr>
          <w:b w:val="false"/>
          <w:i w:val="false"/>
          <w:color w:val="3E3E3E"/>
          <w:sz w:val="19"/>
        </w:rPr>
        <w:t xml:space="preserve"> Selected to take over a struggling enterprise refactoring effort; stabilized a flaky legacy code and test base, clarified outcomes, sequenced technical-debt work, and managed two separate teams, with a typical team size of about 15, across product, engineering, QA/SDET, DevSecOps, platform, security, business analysis, and Scrum leadership.</w:t>
      </w:r>
    </w:p>
    <w:p>
      <w:pPr>
        <w:pStyle w:val="ResumeBullet"/>
        <w:keepNext w:val="false"/>
        <w:keepLines/>
        <w:widowControl/>
        <w:numPr>
          <w:ilvl w:val="0"/>
          <w:numId w:val="7"/>
        </w:numPr>
        <w:spacing w:lineRule="auto" w:line="264" w:before="0" w:after="74"/>
        <w:ind w:hanging="230" w:left="317"/>
        <w:rPr/>
      </w:pPr>
      <w:r>
        <w:rPr>
          <w:b/>
          <w:i w:val="false"/>
          <w:color w:val="3E3E3E"/>
          <w:sz w:val="19"/>
        </w:rPr>
        <w:t>AI-assisted roadmaps and requirements.</w:t>
      </w:r>
      <w:r>
        <w:rPr>
          <w:b w:val="false"/>
          <w:i w:val="false"/>
          <w:color w:val="3E3E3E"/>
          <w:sz w:val="19"/>
        </w:rPr>
        <w:t xml:space="preserve"> Applied generative AI/LLMs to research synthesis, PRDs, user stories, and acceptance criteria with human review; prioritized Jira backlogs by mission impact, risk, technical debt, estimates, and capacity while meeting every committed outcome date.</w:t>
      </w:r>
    </w:p>
    <w:p>
      <w:pPr>
        <w:pStyle w:val="ResumeBullet"/>
        <w:keepNext w:val="false"/>
        <w:keepLines/>
        <w:widowControl/>
        <w:numPr>
          <w:ilvl w:val="0"/>
          <w:numId w:val="7"/>
        </w:numPr>
        <w:spacing w:lineRule="auto" w:line="264" w:before="0" w:after="74"/>
        <w:ind w:hanging="230" w:left="317"/>
        <w:rPr/>
      </w:pPr>
      <w:r>
        <w:rPr>
          <w:b/>
          <w:i w:val="false"/>
          <w:color w:val="3E3E3E"/>
          <w:sz w:val="19"/>
        </w:rPr>
        <w:t>Shared APIs and enterprise workflows.</w:t>
      </w:r>
      <w:r>
        <w:rPr>
          <w:b w:val="false"/>
          <w:i w:val="false"/>
          <w:color w:val="3E3E3E"/>
          <w:sz w:val="19"/>
        </w:rPr>
        <w:t xml:space="preserve"> Managed requirements and delivery across 20+ financial, approval, authentication, and government systems; aligned engineering and third-party owners on integration contracts, dependencies, priorities, and reliable end-to-end workflows.</w:t>
      </w:r>
    </w:p>
    <w:p>
      <w:pPr>
        <w:pStyle w:val="ResumeBullet"/>
        <w:keepNext w:val="false"/>
        <w:keepLines/>
        <w:widowControl/>
        <w:numPr>
          <w:ilvl w:val="0"/>
          <w:numId w:val="7"/>
        </w:numPr>
        <w:spacing w:lineRule="auto" w:line="264" w:before="0" w:after="74"/>
        <w:ind w:hanging="230" w:left="317"/>
        <w:rPr/>
      </w:pPr>
      <w:r>
        <w:rPr>
          <w:b/>
          <w:i w:val="false"/>
          <w:color w:val="3E3E3E"/>
          <w:sz w:val="19"/>
        </w:rPr>
        <w:t>AI-assisted quality engineering.</w:t>
      </w:r>
      <w:r>
        <w:rPr>
          <w:b w:val="false"/>
          <w:i w:val="false"/>
          <w:color w:val="3E3E3E"/>
          <w:sz w:val="19"/>
        </w:rPr>
        <w:t xml:space="preserve"> Led integration, regression, manual end-to-end, and Selenium automation across 6,000+ application test points and automated steps, stabilizing pass coverage at approximately 99.95% and maturing the integration-test operating model. Used AI to group failures, investigate flaky tests, identify coverage gaps, and draft test updates, with human review and test execution to validate changes.</w:t>
      </w:r>
    </w:p>
    <w:p>
      <w:pPr>
        <w:pStyle w:val="ResumeBullet"/>
        <w:keepNext w:val="false"/>
        <w:keepLines/>
        <w:widowControl/>
        <w:numPr>
          <w:ilvl w:val="0"/>
          <w:numId w:val="7"/>
        </w:numPr>
        <w:spacing w:lineRule="auto" w:line="264" w:before="0" w:after="74"/>
        <w:ind w:hanging="230" w:left="317"/>
        <w:rPr/>
      </w:pPr>
      <w:r>
        <w:rPr>
          <w:b/>
          <w:i w:val="false"/>
          <w:color w:val="3E3E3E"/>
          <w:sz w:val="19"/>
        </w:rPr>
        <w:t>AI-assisted performance analytics and scale.</w:t>
      </w:r>
      <w:r>
        <w:rPr>
          <w:b w:val="false"/>
          <w:i w:val="false"/>
          <w:color w:val="3E3E3E"/>
          <w:sz w:val="19"/>
        </w:rPr>
        <w:t xml:space="preserve"> Directed Gatling load testing and used Dynatrace insights to inform troubleshooting, scalability, and capacity planning for up to 60,000 simultaneous users, supporting sub-second response targets across tested scenarios. Used AI to develop workload scenarios, analyze load-test results and performance evidence, investigate bottlenecks, and inform engineering priorities; validated findings through engineering review and repeatable tests.</w:t>
      </w:r>
    </w:p>
    <w:p>
      <w:pPr>
        <w:pStyle w:val="ResumeBullet"/>
        <w:keepNext w:val="false"/>
        <w:keepLines/>
        <w:widowControl/>
        <w:numPr>
          <w:ilvl w:val="0"/>
          <w:numId w:val="7"/>
        </w:numPr>
        <w:spacing w:lineRule="auto" w:line="264" w:before="0" w:after="74"/>
        <w:ind w:hanging="230" w:left="317"/>
        <w:rPr/>
      </w:pPr>
      <w:r>
        <w:rPr>
          <w:b/>
          <w:i w:val="false"/>
          <w:color w:val="3E3E3E"/>
          <w:sz w:val="19"/>
        </w:rPr>
        <w:t>Platform and access operations.</w:t>
      </w:r>
      <w:r>
        <w:rPr>
          <w:b w:val="false"/>
          <w:i w:val="false"/>
          <w:color w:val="3E3E3E"/>
          <w:sz w:val="19"/>
        </w:rPr>
        <w:t xml:space="preserve"> Led 24/7 availability, production support, monitoring, incident response, deployments, certificate rotations, pipeline troubleshooting, service recovery, and role-based onboarding/offboarding for a large administrative user environment described as approximately 600,000 account records.</w:t>
      </w:r>
    </w:p>
    <w:p>
      <w:pPr>
        <w:pStyle w:val="ResumeBullet"/>
        <w:keepNext w:val="false"/>
        <w:keepLines/>
        <w:widowControl/>
        <w:numPr>
          <w:ilvl w:val="0"/>
          <w:numId w:val="7"/>
        </w:numPr>
        <w:spacing w:lineRule="auto" w:line="264" w:before="0" w:after="74"/>
        <w:ind w:hanging="230" w:left="317"/>
        <w:rPr/>
      </w:pPr>
      <w:r>
        <w:rPr>
          <w:b/>
          <w:i w:val="false"/>
          <w:color w:val="3E3E3E"/>
          <w:sz w:val="19"/>
        </w:rPr>
        <w:t>Security and compliance.</w:t>
      </w:r>
      <w:r>
        <w:rPr>
          <w:b w:val="false"/>
          <w:i w:val="false"/>
          <w:color w:val="3E3E3E"/>
          <w:sz w:val="19"/>
        </w:rPr>
        <w:t xml:space="preserve"> Strengthened CI/CD security gates, SBOM scanning, High/Critical vulnerability triage, remediation and approved risk acceptance, uploaded-file scanning, recurring reviews, audit response, and monthly security-update cycles.</w:t>
      </w:r>
    </w:p>
    <w:p>
      <w:pPr>
        <w:pStyle w:val="ResumeBullet"/>
        <w:keepNext w:val="false"/>
        <w:keepLines/>
        <w:widowControl/>
        <w:numPr>
          <w:ilvl w:val="0"/>
          <w:numId w:val="7"/>
        </w:numPr>
        <w:spacing w:lineRule="auto" w:line="264" w:before="0" w:after="74"/>
        <w:ind w:hanging="230" w:left="317"/>
        <w:rPr/>
      </w:pPr>
      <w:r>
        <w:rPr>
          <w:b/>
          <w:i w:val="false"/>
          <w:color w:val="3E3E3E"/>
          <w:sz w:val="19"/>
        </w:rPr>
        <w:t>Executive alignment and AI enablement.</w:t>
      </w:r>
      <w:r>
        <w:rPr>
          <w:b w:val="false"/>
          <w:i w:val="false"/>
          <w:color w:val="3E3E3E"/>
          <w:sz w:val="19"/>
        </w:rPr>
        <w:t xml:space="preserve"> Communicated roadmap progress, KPIs, trade-offs, and risks in monthly leadership and weekly FEMA GO reviews; used AI-assisted documentation with human review to support approximately 40 Confluence runbooks, incident procedures, access workflows, and guides.</w:t>
      </w:r>
    </w:p>
    <w:p>
      <w:pPr>
        <w:pStyle w:val="ResumeRole"/>
        <w:keepNext w:val="true"/>
        <w:keepLines/>
        <w:widowControl/>
        <w:tabs>
          <w:tab w:val="clear" w:pos="720"/>
          <w:tab w:val="right" w:pos="10296" w:leader="none"/>
        </w:tabs>
        <w:spacing w:lineRule="auto" w:line="240" w:before="100" w:after="24"/>
        <w:rPr>
          <w:rFonts w:ascii="Arial" w:hAnsi="Arial"/>
          <w:b/>
          <w:i w:val="false"/>
          <w:color w:val="171717"/>
          <w:sz w:val="20"/>
        </w:rPr>
      </w:pPr>
      <w:r>
        <w:rPr>
          <w:rFonts w:ascii="Arial" w:hAnsi="Arial"/>
          <w:b/>
          <w:i w:val="false"/>
          <w:color w:val="171717"/>
          <w:sz w:val="20"/>
        </w:rPr>
      </w:r>
    </w:p>
    <w:p>
      <w:pPr>
        <w:pStyle w:val="ResumeRole"/>
        <w:widowControl/>
        <w:tabs>
          <w:tab w:val="clear" w:pos="720"/>
          <w:tab w:val="right" w:pos="10296" w:leader="none"/>
        </w:tabs>
        <w:spacing w:lineRule="auto" w:line="240" w:before="100" w:after="24"/>
        <w:rPr/>
      </w:pPr>
      <w:r>
        <w:rPr>
          <w:rFonts w:ascii="Arial" w:hAnsi="Arial"/>
          <w:b/>
          <w:i w:val="false"/>
          <w:color w:val="171717"/>
          <w:sz w:val="20"/>
        </w:rPr>
        <w:t>Senior Product Manager, Mobile Collections (Contract)</w:t>
      </w:r>
      <w:r>
        <w:rPr>
          <w:rFonts w:ascii="Arial" w:hAnsi="Arial"/>
          <w:b/>
          <w:i w:val="false"/>
          <w:color w:val="B58B45"/>
          <w:sz w:val="18"/>
        </w:rPr>
        <w:tab/>
      </w:r>
      <w:r>
        <w:rPr>
          <w:rFonts w:ascii="Arial" w:hAnsi="Arial"/>
          <w:b w:val="false"/>
          <w:bCs w:val="false"/>
          <w:i w:val="false"/>
          <w:color w:val="B58B45"/>
          <w:sz w:val="18"/>
        </w:rPr>
        <w:t>Mar 2023 – Apr 2024</w:t>
      </w:r>
    </w:p>
    <w:p>
      <w:pPr>
        <w:pStyle w:val="ResumeRoleMeta"/>
        <w:keepNext w:val="false"/>
        <w:keepLines/>
        <w:widowControl/>
        <w:spacing w:lineRule="auto" w:line="240" w:before="0" w:after="68"/>
        <w:rPr/>
      </w:pPr>
      <w:r>
        <w:rPr>
          <w:rFonts w:ascii="Arial" w:hAnsi="Arial"/>
          <w:b/>
          <w:bCs/>
          <w:i/>
          <w:color w:val="676767"/>
          <w:sz w:val="17"/>
        </w:rPr>
        <w:t xml:space="preserve">Capital One </w:t>
      </w:r>
      <w:r>
        <w:rPr>
          <w:rFonts w:ascii="Arial" w:hAnsi="Arial"/>
          <w:b w:val="false"/>
          <w:i/>
          <w:color w:val="676767"/>
          <w:sz w:val="17"/>
        </w:rPr>
        <w:t>/ Strategic Staffing  |  Hybrid - McLean, VA</w:t>
        <w:br/>
      </w:r>
    </w:p>
    <w:p>
      <w:pPr>
        <w:pStyle w:val="ResumeBody"/>
        <w:keepNext w:val="false"/>
        <w:keepLines/>
        <w:widowControl/>
        <w:spacing w:lineRule="auto" w:line="266" w:before="0" w:after="102"/>
        <w:rPr/>
      </w:pPr>
      <w:r>
        <w:rPr>
          <w:rFonts w:ascii="Arial" w:hAnsi="Arial"/>
          <w:b w:val="false"/>
          <w:i w:val="false"/>
          <w:color w:val="3E3E3E"/>
          <w:sz w:val="19"/>
        </w:rPr>
        <w:t>Managed mobile product features for Capital One's new Collections Offer Center across iOS and Android, expanding digital self-service for past-due customers to review repayment options and resolve balances.</w:t>
      </w:r>
    </w:p>
    <w:p>
      <w:pPr>
        <w:pStyle w:val="ResumeBullet"/>
        <w:keepNext w:val="false"/>
        <w:keepLines/>
        <w:widowControl/>
        <w:numPr>
          <w:ilvl w:val="0"/>
          <w:numId w:val="7"/>
        </w:numPr>
        <w:spacing w:lineRule="auto" w:line="264" w:before="0" w:after="74"/>
        <w:ind w:hanging="230" w:left="317"/>
        <w:rPr/>
      </w:pPr>
      <w:r>
        <w:rPr>
          <w:b/>
          <w:i w:val="false"/>
          <w:color w:val="3E3E3E"/>
          <w:sz w:val="19"/>
        </w:rPr>
        <w:t>Customer communications and repayment journeys.</w:t>
      </w:r>
      <w:r>
        <w:rPr>
          <w:b w:val="false"/>
          <w:i w:val="false"/>
          <w:color w:val="3E3E3E"/>
          <w:sz w:val="19"/>
        </w:rPr>
        <w:t xml:space="preserve"> Defined eligibility, prompts, account-status logic, lump-sum payments, installment plans, and tailored offers across delinquency stages for Capital One mobile collections.</w:t>
      </w:r>
    </w:p>
    <w:p>
      <w:pPr>
        <w:pStyle w:val="ResumeBullet"/>
        <w:keepNext w:val="false"/>
        <w:keepLines/>
        <w:widowControl/>
        <w:numPr>
          <w:ilvl w:val="0"/>
          <w:numId w:val="7"/>
        </w:numPr>
        <w:spacing w:lineRule="auto" w:line="264" w:before="0" w:after="74"/>
        <w:ind w:hanging="230" w:left="317"/>
        <w:rPr/>
      </w:pPr>
      <w:r>
        <w:rPr>
          <w:b/>
          <w:i w:val="false"/>
          <w:color w:val="3E3E3E"/>
          <w:sz w:val="19"/>
        </w:rPr>
        <w:t>Discovery and regulated delivery.</w:t>
      </w:r>
      <w:r>
        <w:rPr>
          <w:b w:val="false"/>
          <w:i w:val="false"/>
          <w:color w:val="3E3E3E"/>
          <w:sz w:val="19"/>
        </w:rPr>
        <w:t xml:space="preserve"> Worked with a typical team of 10-15 across UX/UI, engineering, QA, and compliance to translate customer pain points and servicing rules into user stories, acceptance criteria, and accessible mobile journeys supporting responsible debt resolution.</w:t>
      </w:r>
    </w:p>
    <w:p>
      <w:pPr>
        <w:pStyle w:val="ResumeBullet"/>
        <w:keepNext w:val="false"/>
        <w:keepLines/>
        <w:widowControl/>
        <w:numPr>
          <w:ilvl w:val="0"/>
          <w:numId w:val="7"/>
        </w:numPr>
        <w:spacing w:lineRule="auto" w:line="264" w:before="0" w:after="74"/>
        <w:ind w:hanging="230" w:left="317"/>
        <w:rPr/>
      </w:pPr>
      <w:r>
        <w:rPr>
          <w:b/>
          <w:i w:val="false"/>
          <w:color w:val="3E3E3E"/>
          <w:sz w:val="19"/>
        </w:rPr>
        <w:t>AI-assisted product development.</w:t>
      </w:r>
      <w:r>
        <w:rPr>
          <w:b w:val="false"/>
          <w:i w:val="false"/>
          <w:color w:val="3E3E3E"/>
          <w:sz w:val="19"/>
        </w:rPr>
        <w:t xml:space="preserve"> Used generative AI/LLMs for research synthesis, requirements, user stories, and workflow ideation; validated outputs through human review while balancing compliance and release readiness.</w:t>
      </w:r>
    </w:p>
    <w:p>
      <w:pPr>
        <w:pStyle w:val="ResumeSection"/>
        <w:keepNext w:val="true"/>
        <w:keepLines/>
        <w:widowControl/>
        <w:pBdr>
          <w:bottom w:val="single" w:sz="4" w:space="5" w:color="D6D3CD"/>
        </w:pBdr>
        <w:spacing w:lineRule="auto" w:line="240" w:before="190" w:after="120"/>
        <w:rPr>
          <w:rFonts w:ascii="Arial" w:hAnsi="Arial"/>
          <w:b w:val="false"/>
          <w:i w:val="false"/>
          <w:color w:val="171717"/>
          <w:spacing w:val="31"/>
          <w:sz w:val="23"/>
        </w:rPr>
      </w:pPr>
      <w:r>
        <w:rPr>
          <w:rFonts w:ascii="Arial" w:hAnsi="Arial"/>
          <w:b w:val="false"/>
          <w:i w:val="false"/>
          <w:color w:val="171717"/>
          <w:spacing w:val="31"/>
          <w:sz w:val="23"/>
        </w:rPr>
      </w:r>
    </w:p>
    <w:p>
      <w:pPr>
        <w:pStyle w:val="ResumeSection"/>
        <w:widowControl/>
        <w:pBdr>
          <w:bottom w:val="single" w:sz="4" w:space="5" w:color="D6D3CD"/>
        </w:pBdr>
        <w:spacing w:lineRule="auto" w:line="240" w:before="190" w:after="120"/>
        <w:rPr>
          <w:rFonts w:ascii="Arial" w:hAnsi="Arial"/>
          <w:b w:val="false"/>
          <w:i w:val="false"/>
          <w:color w:val="171717"/>
          <w:spacing w:val="31"/>
          <w:sz w:val="23"/>
        </w:rPr>
      </w:pPr>
      <w:r>
        <w:rPr>
          <w:rFonts w:ascii="Arial" w:hAnsi="Arial"/>
          <w:b w:val="false"/>
          <w:i w:val="false"/>
          <w:color w:val="171717"/>
          <w:spacing w:val="31"/>
          <w:sz w:val="23"/>
        </w:rPr>
        <w:t>AGENCY, CONSULTING &amp; HOSPITALITY PRODUCT LEADERSHIP</w:t>
      </w:r>
    </w:p>
    <w:p>
      <w:pPr>
        <w:pStyle w:val="ResumeRole"/>
        <w:keepNext w:val="true"/>
        <w:keepLines/>
        <w:widowControl/>
        <w:tabs>
          <w:tab w:val="clear" w:pos="720"/>
          <w:tab w:val="right" w:pos="10296" w:leader="none"/>
        </w:tabs>
        <w:spacing w:lineRule="auto" w:line="240" w:before="100" w:after="24"/>
        <w:rPr/>
      </w:pPr>
      <w:r>
        <w:rPr>
          <w:rFonts w:ascii="Arial" w:hAnsi="Arial"/>
          <w:b/>
          <w:i w:val="false"/>
          <w:color w:val="171717"/>
          <w:sz w:val="20"/>
        </w:rPr>
        <w:t>Senior Digital Product Manager - Agency &amp; Consulting</w:t>
      </w:r>
      <w:r>
        <w:rPr>
          <w:rFonts w:ascii="Arial" w:hAnsi="Arial"/>
          <w:b/>
          <w:i w:val="false"/>
          <w:color w:val="B58B45"/>
          <w:sz w:val="18"/>
        </w:rPr>
        <w:tab/>
      </w:r>
      <w:r>
        <w:rPr>
          <w:rFonts w:ascii="Arial" w:hAnsi="Arial"/>
          <w:b w:val="false"/>
          <w:bCs w:val="false"/>
          <w:i w:val="false"/>
          <w:color w:val="B58B45"/>
          <w:sz w:val="18"/>
        </w:rPr>
        <w:t>Feb 2021 – Mar 2023</w:t>
      </w:r>
    </w:p>
    <w:p>
      <w:pPr>
        <w:pStyle w:val="ResumeRoleMeta"/>
        <w:keepNext w:val="false"/>
        <w:keepLines/>
        <w:widowControl/>
        <w:spacing w:lineRule="auto" w:line="240" w:before="0" w:after="68"/>
        <w:rPr/>
      </w:pPr>
      <w:r>
        <w:rPr>
          <w:rFonts w:ascii="Arial" w:hAnsi="Arial"/>
          <w:b/>
          <w:bCs/>
          <w:i/>
          <w:color w:val="676767"/>
          <w:sz w:val="17"/>
        </w:rPr>
        <w:t xml:space="preserve">BigDrop Inc. </w:t>
      </w:r>
      <w:r>
        <w:rPr>
          <w:rFonts w:ascii="Arial" w:hAnsi="Arial"/>
          <w:b w:val="false"/>
          <w:i/>
          <w:color w:val="676767"/>
          <w:sz w:val="17"/>
        </w:rPr>
        <w:t xml:space="preserve"> |  100% Remote - Broomes Island, MD</w:t>
        <w:br/>
      </w:r>
    </w:p>
    <w:p>
      <w:pPr>
        <w:pStyle w:val="ResumeBody"/>
        <w:keepNext w:val="false"/>
        <w:keepLines/>
        <w:widowControl/>
        <w:spacing w:lineRule="auto" w:line="266" w:before="0" w:after="102"/>
        <w:rPr/>
      </w:pPr>
      <w:r>
        <w:rPr>
          <w:rFonts w:ascii="Arial" w:hAnsi="Arial"/>
          <w:b w:val="false"/>
          <w:i w:val="false"/>
          <w:color w:val="3E3E3E"/>
          <w:sz w:val="19"/>
        </w:rPr>
        <w:t>Led product discovery, strategy, and full-lifecycle digital delivery from customer research and roadmap prioritization through UX/UI, engineering, QA, launch, and optimization.</w:t>
      </w:r>
    </w:p>
    <w:p>
      <w:pPr>
        <w:pStyle w:val="ResumeBullet"/>
        <w:keepNext w:val="false"/>
        <w:keepLines/>
        <w:widowControl/>
        <w:numPr>
          <w:ilvl w:val="0"/>
          <w:numId w:val="7"/>
        </w:numPr>
        <w:spacing w:lineRule="auto" w:line="264" w:before="0" w:after="74"/>
        <w:ind w:hanging="230" w:left="317"/>
        <w:rPr/>
      </w:pPr>
      <w:r>
        <w:rPr>
          <w:b/>
          <w:i w:val="false"/>
          <w:color w:val="3E3E3E"/>
          <w:sz w:val="19"/>
        </w:rPr>
        <w:t>Portfolio and C-suite leadership.</w:t>
      </w:r>
      <w:r>
        <w:rPr>
          <w:b w:val="false"/>
          <w:i w:val="false"/>
          <w:color w:val="3E3E3E"/>
          <w:sz w:val="19"/>
        </w:rPr>
        <w:t xml:space="preserve"> Directed 22 high-profile website, application, and mobile engagements supporting approximately $30M in paid invoices; led executive discovery workshops and translated brand, customer, commercial, and technical needs into roadmaps, SOWs, scope decisions, and delivery plans.</w:t>
      </w:r>
    </w:p>
    <w:p>
      <w:pPr>
        <w:pStyle w:val="ResumeBullet"/>
        <w:keepNext w:val="false"/>
        <w:keepLines/>
        <w:widowControl/>
        <w:numPr>
          <w:ilvl w:val="0"/>
          <w:numId w:val="7"/>
        </w:numPr>
        <w:spacing w:lineRule="auto" w:line="264" w:before="0" w:after="74"/>
        <w:ind w:hanging="230" w:left="317"/>
        <w:rPr/>
      </w:pPr>
      <w:r>
        <w:rPr>
          <w:b/>
          <w:i w:val="false"/>
          <w:color w:val="3E3E3E"/>
          <w:sz w:val="19"/>
        </w:rPr>
        <w:t>Altice / Optimum turnaround.</w:t>
      </w:r>
      <w:r>
        <w:rPr>
          <w:b w:val="false"/>
          <w:i w:val="false"/>
          <w:color w:val="3E3E3E"/>
          <w:sz w:val="19"/>
        </w:rPr>
        <w:t xml:space="preserve"> Recovered an at-risk approximately $10M platform redesign involving roughly 60 customer journeys, high traffic, and connected credit-check, financing, eligibility, exception-handling, and compliance workflows.</w:t>
      </w:r>
    </w:p>
    <w:p>
      <w:pPr>
        <w:pStyle w:val="ResumeBullet"/>
        <w:keepNext w:val="false"/>
        <w:keepLines/>
        <w:widowControl/>
        <w:numPr>
          <w:ilvl w:val="0"/>
          <w:numId w:val="7"/>
        </w:numPr>
        <w:spacing w:lineRule="auto" w:line="264" w:before="0" w:after="74"/>
        <w:ind w:hanging="230" w:left="317"/>
        <w:rPr/>
      </w:pPr>
      <w:r>
        <w:rPr>
          <w:b/>
          <w:i w:val="false"/>
          <w:color w:val="3E3E3E"/>
          <w:sz w:val="19"/>
        </w:rPr>
        <w:t>Revenue protection.</w:t>
      </w:r>
      <w:r>
        <w:rPr>
          <w:b w:val="false"/>
          <w:i w:val="false"/>
          <w:color w:val="3E3E3E"/>
          <w:sz w:val="19"/>
        </w:rPr>
        <w:t xml:space="preserve"> Identified an approximately $500K underbilling exposure, reconstructed the scope and supporting evidence, and worked with agency and client executives to justify and support recovery of the potential loss.</w:t>
      </w:r>
    </w:p>
    <w:p>
      <w:pPr>
        <w:pStyle w:val="ResumeBullet"/>
        <w:keepNext w:val="false"/>
        <w:keepLines/>
        <w:widowControl/>
        <w:numPr>
          <w:ilvl w:val="0"/>
          <w:numId w:val="7"/>
        </w:numPr>
        <w:spacing w:lineRule="auto" w:line="264" w:before="0" w:after="74"/>
        <w:ind w:hanging="230" w:left="317"/>
        <w:rPr/>
      </w:pPr>
      <w:r>
        <w:rPr>
          <w:b/>
          <w:i w:val="false"/>
          <w:color w:val="3E3E3E"/>
          <w:sz w:val="19"/>
        </w:rPr>
        <w:t>Distributed delivery.</w:t>
      </w:r>
      <w:r>
        <w:rPr>
          <w:b w:val="false"/>
          <w:i w:val="false"/>
          <w:color w:val="3E3E3E"/>
          <w:sz w:val="19"/>
        </w:rPr>
        <w:t xml:space="preserve"> Directed front-end, back-end, UX/UI, SEO, marketing, QA, and creative teams across the United States, Canada, Ukraine, Poland, Hungary, South Africa, and additional markets.</w:t>
      </w:r>
    </w:p>
    <w:p>
      <w:pPr>
        <w:pStyle w:val="ResumeBullet"/>
        <w:keepNext w:val="false"/>
        <w:keepLines/>
        <w:widowControl/>
        <w:numPr>
          <w:ilvl w:val="0"/>
          <w:numId w:val="7"/>
        </w:numPr>
        <w:spacing w:lineRule="auto" w:line="264" w:before="0" w:after="74"/>
        <w:ind w:hanging="230" w:left="317"/>
        <w:rPr/>
      </w:pPr>
      <w:r>
        <w:rPr>
          <w:b/>
          <w:i w:val="false"/>
          <w:color w:val="3E3E3E"/>
          <w:sz w:val="19"/>
        </w:rPr>
        <w:t>Complex digital products.</w:t>
      </w:r>
      <w:r>
        <w:rPr>
          <w:b w:val="false"/>
          <w:i w:val="false"/>
          <w:color w:val="3E3E3E"/>
          <w:sz w:val="19"/>
        </w:rPr>
        <w:t xml:space="preserve"> Delivered web, mobile, subscription-streaming, aviation, cybersecurity, legal, and enterprise experiences; coordinated integrations, launch gates, readiness reviews, and immediate response during critical releases.</w:t>
      </w:r>
    </w:p>
    <w:p>
      <w:pPr>
        <w:pStyle w:val="ResumeRole"/>
        <w:keepNext w:val="true"/>
        <w:keepLines/>
        <w:widowControl/>
        <w:tabs>
          <w:tab w:val="clear" w:pos="720"/>
          <w:tab w:val="right" w:pos="10296" w:leader="none"/>
        </w:tabs>
        <w:spacing w:lineRule="auto" w:line="240" w:before="100" w:after="24"/>
        <w:rPr>
          <w:rFonts w:ascii="Arial" w:hAnsi="Arial"/>
          <w:b/>
          <w:i w:val="false"/>
          <w:color w:val="171717"/>
          <w:sz w:val="20"/>
        </w:rPr>
      </w:pPr>
      <w:r>
        <w:rPr>
          <w:rFonts w:ascii="Arial" w:hAnsi="Arial"/>
          <w:b/>
          <w:i w:val="false"/>
          <w:color w:val="171717"/>
          <w:sz w:val="20"/>
        </w:rPr>
      </w:r>
    </w:p>
    <w:p>
      <w:pPr>
        <w:pStyle w:val="ResumeRole"/>
        <w:widowControl/>
        <w:tabs>
          <w:tab w:val="clear" w:pos="720"/>
          <w:tab w:val="right" w:pos="10296" w:leader="none"/>
        </w:tabs>
        <w:spacing w:lineRule="auto" w:line="240" w:before="100" w:after="24"/>
        <w:rPr/>
      </w:pPr>
      <w:r>
        <w:rPr>
          <w:rFonts w:ascii="Arial" w:hAnsi="Arial"/>
          <w:b/>
          <w:i w:val="false"/>
          <w:color w:val="171717"/>
          <w:sz w:val="20"/>
        </w:rPr>
        <w:t>Technical Product Manager - Hospitality Digital Commerce &amp; SaaS</w:t>
      </w:r>
      <w:r>
        <w:rPr>
          <w:rFonts w:ascii="Arial" w:hAnsi="Arial"/>
          <w:b/>
          <w:i w:val="false"/>
          <w:color w:val="B58B45"/>
          <w:sz w:val="18"/>
        </w:rPr>
        <w:tab/>
        <w:t>Apr 2011 – Feb 2021</w:t>
      </w:r>
    </w:p>
    <w:p>
      <w:pPr>
        <w:pStyle w:val="ResumeRoleMeta"/>
        <w:keepNext w:val="false"/>
        <w:keepLines/>
        <w:widowControl/>
        <w:spacing w:lineRule="auto" w:line="240" w:before="0" w:after="68"/>
        <w:rPr/>
      </w:pPr>
      <w:r>
        <w:rPr>
          <w:rFonts w:ascii="Arial" w:hAnsi="Arial"/>
          <w:b/>
          <w:bCs/>
          <w:i/>
          <w:color w:val="676767"/>
          <w:sz w:val="17"/>
        </w:rPr>
        <w:t xml:space="preserve">Oracle </w:t>
      </w:r>
      <w:r>
        <w:rPr>
          <w:rFonts w:ascii="Arial" w:hAnsi="Arial"/>
          <w:b w:val="false"/>
          <w:i/>
          <w:color w:val="676767"/>
          <w:sz w:val="17"/>
        </w:rPr>
        <w:t xml:space="preserve">/ TIG Global / MICROS eCommerce / Milestone Internet Marketing  |  Washington, DC </w:t>
        <w:br/>
      </w:r>
    </w:p>
    <w:p>
      <w:pPr>
        <w:pStyle w:val="ResumeBody"/>
        <w:keepNext w:val="false"/>
        <w:keepLines/>
        <w:widowControl/>
        <w:spacing w:lineRule="auto" w:line="266" w:before="0" w:after="102"/>
        <w:rPr/>
      </w:pPr>
      <w:r>
        <w:rPr>
          <w:rFonts w:ascii="Arial" w:hAnsi="Arial"/>
          <w:b w:val="false"/>
          <w:i w:val="false"/>
          <w:color w:val="3E3E3E"/>
          <w:sz w:val="19"/>
        </w:rPr>
        <w:t>Continuous 10-year hospitality product career spanning acquisitions and successive hospitality technology organizations.</w:t>
      </w:r>
    </w:p>
    <w:p>
      <w:pPr>
        <w:pStyle w:val="ResumeBody"/>
        <w:keepNext w:val="false"/>
        <w:keepLines/>
        <w:widowControl/>
        <w:spacing w:lineRule="auto" w:line="266" w:before="0" w:after="102"/>
        <w:rPr/>
      </w:pPr>
      <w:r>
        <w:rPr>
          <w:rFonts w:ascii="Arial" w:hAnsi="Arial"/>
          <w:b w:val="false"/>
          <w:i w:val="false"/>
          <w:color w:val="3E3E3E"/>
          <w:sz w:val="19"/>
        </w:rPr>
        <w:t>Led hotel, resort, restaurant, golf, and spa products for major-brand and ownership-group portfolios, combining product strategy, consulting, global delivery, SaaS/CMS platform work, production operations, and revenue innovation.</w:t>
      </w:r>
    </w:p>
    <w:p>
      <w:pPr>
        <w:pStyle w:val="ResumeBullet"/>
        <w:keepNext w:val="false"/>
        <w:keepLines/>
        <w:widowControl/>
        <w:numPr>
          <w:ilvl w:val="0"/>
          <w:numId w:val="7"/>
        </w:numPr>
        <w:spacing w:lineRule="auto" w:line="264" w:before="0" w:after="74"/>
        <w:ind w:hanging="230" w:left="317"/>
        <w:rPr/>
      </w:pPr>
      <w:r>
        <w:rPr>
          <w:b/>
          <w:i w:val="false"/>
          <w:color w:val="3E3E3E"/>
          <w:sz w:val="19"/>
        </w:rPr>
        <w:t>Customer discovery and product analytics.</w:t>
      </w:r>
      <w:r>
        <w:rPr>
          <w:b w:val="false"/>
          <w:i w:val="false"/>
          <w:color w:val="3E3E3E"/>
          <w:sz w:val="19"/>
        </w:rPr>
        <w:t xml:space="preserve"> Interviewed hotel executives, owners, and commercial leaders; used Google Analytics, customer research, and performance data to shape digital-commerce roadmaps, prioritize customer needs, and guide conversion optimization.</w:t>
      </w:r>
    </w:p>
    <w:p>
      <w:pPr>
        <w:pStyle w:val="ResumeBullet"/>
        <w:keepNext w:val="false"/>
        <w:keepLines/>
        <w:widowControl/>
        <w:numPr>
          <w:ilvl w:val="0"/>
          <w:numId w:val="7"/>
        </w:numPr>
        <w:spacing w:lineRule="auto" w:line="264" w:before="0" w:after="74"/>
        <w:ind w:hanging="230" w:left="317"/>
        <w:rPr/>
      </w:pPr>
      <w:r>
        <w:rPr>
          <w:b/>
          <w:i w:val="false"/>
          <w:color w:val="3E3E3E"/>
          <w:sz w:val="19"/>
        </w:rPr>
        <w:t>Hotel commerce ecosystem.</w:t>
      </w:r>
      <w:r>
        <w:rPr>
          <w:b w:val="false"/>
          <w:i w:val="false"/>
          <w:color w:val="3E3E3E"/>
          <w:sz w:val="19"/>
        </w:rPr>
        <w:t xml:space="preserve"> Managed complete hotel website and digital-product builds and coordinated requirements, data flows, implementation, testing, defects, launch dependencies, and production support across a broad range of booking engines and reservation providers.</w:t>
      </w:r>
    </w:p>
    <w:p>
      <w:pPr>
        <w:pStyle w:val="ResumeBullet"/>
        <w:keepNext w:val="false"/>
        <w:keepLines/>
        <w:widowControl/>
        <w:numPr>
          <w:ilvl w:val="0"/>
          <w:numId w:val="7"/>
        </w:numPr>
        <w:spacing w:lineRule="auto" w:line="264" w:before="0" w:after="74"/>
        <w:ind w:hanging="230" w:left="317"/>
        <w:rPr/>
      </w:pPr>
      <w:r>
        <w:rPr>
          <w:b/>
          <w:i w:val="false"/>
          <w:color w:val="3E3E3E"/>
          <w:sz w:val="19"/>
        </w:rPr>
        <w:t>Digital dining and fulfillment.</w:t>
      </w:r>
      <w:r>
        <w:rPr>
          <w:b w:val="false"/>
          <w:i w:val="false"/>
          <w:color w:val="3E3E3E"/>
          <w:sz w:val="19"/>
        </w:rPr>
        <w:t xml:space="preserve"> Helped ideate, design, test, A/B test, launch, and scale restaurant online-ordering, reservation, payment, and order-fulfillment products supporting approximately 4,000 clients, with related responsive web and iOS/Android needs.</w:t>
      </w:r>
    </w:p>
    <w:p>
      <w:pPr>
        <w:pStyle w:val="ResumeBullet"/>
        <w:keepNext w:val="false"/>
        <w:keepLines/>
        <w:widowControl/>
        <w:numPr>
          <w:ilvl w:val="0"/>
          <w:numId w:val="7"/>
        </w:numPr>
        <w:spacing w:lineRule="auto" w:line="264" w:before="0" w:after="74"/>
        <w:ind w:hanging="230" w:left="317"/>
        <w:rPr/>
      </w:pPr>
      <w:r>
        <w:rPr>
          <w:b/>
          <w:i w:val="false"/>
          <w:color w:val="3E3E3E"/>
          <w:sz w:val="19"/>
        </w:rPr>
        <w:t>Ancillary hospitality products.</w:t>
      </w:r>
      <w:r>
        <w:rPr>
          <w:b w:val="false"/>
          <w:i w:val="false"/>
          <w:color w:val="3E3E3E"/>
          <w:sz w:val="19"/>
        </w:rPr>
        <w:t xml:space="preserve"> Managed complete website and software builds for golf and spa experiences, translating property-specific requirements into reusable features within proprietary platforms.</w:t>
      </w:r>
    </w:p>
    <w:p>
      <w:pPr>
        <w:pStyle w:val="ResumeBullet"/>
        <w:keepNext w:val="false"/>
        <w:keepLines/>
        <w:widowControl/>
        <w:numPr>
          <w:ilvl w:val="0"/>
          <w:numId w:val="7"/>
        </w:numPr>
        <w:spacing w:lineRule="auto" w:line="264" w:before="0" w:after="74"/>
        <w:ind w:hanging="230" w:left="317"/>
        <w:rPr/>
      </w:pPr>
      <w:r>
        <w:rPr>
          <w:b/>
          <w:i w:val="false"/>
          <w:color w:val="3E3E3E"/>
          <w:sz w:val="19"/>
        </w:rPr>
        <w:t>Global product organization.</w:t>
      </w:r>
      <w:r>
        <w:rPr>
          <w:b w:val="false"/>
          <w:i w:val="false"/>
          <w:color w:val="3E3E3E"/>
          <w:sz w:val="19"/>
        </w:rPr>
        <w:t xml:space="preserve"> Led typical teams of 10-15 developers, designers, QA specialists, content contributors, analysts, account managers, and technical stakeholders across China, Vietnam, India, Japan, Ukraine, Russia, Bangladesh, and other markets.</w:t>
      </w:r>
    </w:p>
    <w:p>
      <w:pPr>
        <w:pStyle w:val="ResumeSection"/>
        <w:keepNext w:val="true"/>
        <w:keepLines/>
        <w:widowControl/>
        <w:pBdr>
          <w:bottom w:val="single" w:sz="4" w:space="5" w:color="D6D3CD"/>
        </w:pBdr>
        <w:spacing w:lineRule="auto" w:line="240" w:before="160" w:after="120"/>
        <w:rPr>
          <w:rFonts w:ascii="Arial" w:hAnsi="Arial"/>
          <w:b w:val="false"/>
          <w:i w:val="false"/>
          <w:color w:val="171717"/>
          <w:spacing w:val="31"/>
          <w:sz w:val="21"/>
        </w:rPr>
      </w:pPr>
      <w:r>
        <w:rPr>
          <w:rFonts w:ascii="Arial" w:hAnsi="Arial"/>
          <w:b w:val="false"/>
          <w:i w:val="false"/>
          <w:color w:val="171717"/>
          <w:spacing w:val="31"/>
          <w:sz w:val="21"/>
        </w:rPr>
      </w:r>
    </w:p>
    <w:p>
      <w:pPr>
        <w:pStyle w:val="ResumeSection"/>
        <w:widowControl/>
        <w:pBdr>
          <w:bottom w:val="single" w:sz="4" w:space="5" w:color="D6D3CD"/>
        </w:pBdr>
        <w:spacing w:lineRule="auto" w:line="240" w:before="160" w:after="120"/>
        <w:rPr>
          <w:rFonts w:ascii="Arial" w:hAnsi="Arial"/>
          <w:b w:val="false"/>
          <w:i w:val="false"/>
          <w:color w:val="171717"/>
          <w:spacing w:val="31"/>
          <w:sz w:val="21"/>
        </w:rPr>
      </w:pPr>
      <w:r>
        <w:rPr>
          <w:rFonts w:ascii="Arial" w:hAnsi="Arial"/>
          <w:b w:val="false"/>
          <w:i w:val="false"/>
          <w:color w:val="171717"/>
          <w:spacing w:val="31"/>
          <w:sz w:val="21"/>
        </w:rPr>
        <w:t>PRODUCT LEADERSHIP, CONTINUED</w:t>
      </w:r>
    </w:p>
    <w:p>
      <w:pPr>
        <w:pStyle w:val="ResumeBullet"/>
        <w:keepNext w:val="false"/>
        <w:keepLines/>
        <w:widowControl/>
        <w:numPr>
          <w:ilvl w:val="0"/>
          <w:numId w:val="7"/>
        </w:numPr>
        <w:spacing w:lineRule="auto" w:line="264" w:before="0" w:after="74"/>
        <w:ind w:hanging="230" w:left="317"/>
        <w:rPr/>
      </w:pPr>
      <w:r>
        <w:rPr>
          <w:b/>
          <w:i w:val="false"/>
          <w:color w:val="3E3E3E"/>
          <w:sz w:val="19"/>
        </w:rPr>
        <w:t>Platform and operations ownership.</w:t>
      </w:r>
      <w:r>
        <w:rPr>
          <w:b w:val="false"/>
          <w:i w:val="false"/>
          <w:color w:val="3E3E3E"/>
          <w:sz w:val="19"/>
        </w:rPr>
        <w:t xml:space="preserve"> Helped evolve a proprietary CMS/SaaS platform used by approximately 6,000 clients; served as a primary U.S.-hours operational owner for support, hosting escalations, major incidents, vendor coordination, and service continuity across hundreds and later thousands of sites.</w:t>
      </w:r>
    </w:p>
    <w:p>
      <w:pPr>
        <w:pStyle w:val="ResumeBullet"/>
        <w:keepNext w:val="false"/>
        <w:keepLines/>
        <w:widowControl/>
        <w:numPr>
          <w:ilvl w:val="0"/>
          <w:numId w:val="7"/>
        </w:numPr>
        <w:spacing w:lineRule="auto" w:line="264" w:before="0" w:after="74"/>
        <w:ind w:hanging="230" w:left="317"/>
        <w:rPr/>
      </w:pPr>
      <w:r>
        <w:rPr>
          <w:b/>
          <w:i w:val="false"/>
          <w:color w:val="3E3E3E"/>
          <w:sz w:val="19"/>
        </w:rPr>
        <w:t>Scale and launch governance.</w:t>
      </w:r>
      <w:r>
        <w:rPr>
          <w:b w:val="false"/>
          <w:i w:val="false"/>
          <w:color w:val="3E3E3E"/>
          <w:sz w:val="19"/>
        </w:rPr>
        <w:t xml:space="preserve"> Led more than 1,200 launches, oversaw production of 2,000+ new sites, and maintained approximately 6,000 active sites; created a 300-point pre- and post-launch checklist requiring coordinated signoff from seven functional teams.</w:t>
      </w:r>
    </w:p>
    <w:p>
      <w:pPr>
        <w:pStyle w:val="ResumeBullet"/>
        <w:keepNext w:val="false"/>
        <w:keepLines/>
        <w:widowControl/>
        <w:numPr>
          <w:ilvl w:val="0"/>
          <w:numId w:val="7"/>
        </w:numPr>
        <w:spacing w:lineRule="auto" w:line="264" w:before="0" w:after="74"/>
        <w:ind w:hanging="230" w:left="317"/>
        <w:rPr/>
      </w:pPr>
      <w:r>
        <w:rPr>
          <w:b/>
          <w:i w:val="false"/>
          <w:color w:val="3E3E3E"/>
          <w:sz w:val="19"/>
        </w:rPr>
        <w:t>Recurring-revenue innovation.</w:t>
      </w:r>
      <w:r>
        <w:rPr>
          <w:b w:val="false"/>
          <w:i w:val="false"/>
          <w:color w:val="3E3E3E"/>
          <w:sz w:val="19"/>
        </w:rPr>
        <w:t xml:space="preserve"> Conceived an abandoned-booking product that captured contact information early in the funnel and triggered email and advertising retargeting when a guest did not complete a reservation; introduced it to approximately 6,000 clients and onboarded about 2,000 at $200 per month.</w:t>
      </w:r>
    </w:p>
    <w:p>
      <w:pPr>
        <w:pStyle w:val="ResumeBullet"/>
        <w:keepNext w:val="false"/>
        <w:keepLines/>
        <w:widowControl/>
        <w:numPr>
          <w:ilvl w:val="0"/>
          <w:numId w:val="7"/>
        </w:numPr>
        <w:spacing w:lineRule="auto" w:line="264" w:before="0" w:after="74"/>
        <w:ind w:hanging="230" w:left="317"/>
        <w:rPr/>
      </w:pPr>
      <w:r>
        <w:rPr>
          <w:b/>
          <w:i w:val="false"/>
          <w:color w:val="3E3E3E"/>
          <w:sz w:val="19"/>
        </w:rPr>
        <w:t>Conversion and innovation cadence.</w:t>
      </w:r>
      <w:r>
        <w:rPr>
          <w:b w:val="false"/>
          <w:i w:val="false"/>
          <w:color w:val="3E3E3E"/>
          <w:sz w:val="19"/>
        </w:rPr>
        <w:t xml:space="preserve"> Pioneered automated animated room and property imagery using After Effects and A/B testing; reported directly to the Milestone CEO and delivered two new product concepts per quarter while continuing client onboarding, roadmap execution, and platform feature development.</w:t>
      </w:r>
    </w:p>
    <w:p>
      <w:pPr>
        <w:pStyle w:val="ResumeBullet"/>
        <w:keepNext w:val="false"/>
        <w:keepLines/>
        <w:widowControl/>
        <w:numPr>
          <w:ilvl w:val="0"/>
          <w:numId w:val="7"/>
        </w:numPr>
        <w:spacing w:lineRule="auto" w:line="264" w:before="0" w:after="74"/>
        <w:ind w:hanging="230" w:left="317"/>
        <w:rPr/>
      </w:pPr>
      <w:r>
        <w:rPr>
          <w:b/>
          <w:i w:val="false"/>
          <w:color w:val="3E3E3E"/>
          <w:sz w:val="19"/>
        </w:rPr>
        <w:t>Operational excellence and recognition.</w:t>
      </w:r>
      <w:r>
        <w:rPr>
          <w:b w:val="false"/>
          <w:i w:val="false"/>
          <w:color w:val="3E3E3E"/>
          <w:sz w:val="19"/>
        </w:rPr>
        <w:t xml:space="preserve"> Implemented 60+ delivery and quality improvements; reduced manual effort by more than 20%, errors from approximately 5-6% to 0.05%, and case-resolution time by approximately 50%; supported SaaS enhancements tied to approximately $5M annual profit and 20:1-21:1 ROI, award-winning work, and a Hospitality Engage keynote.</w:t>
      </w:r>
    </w:p>
    <w:p>
      <w:pPr>
        <w:pStyle w:val="ResumeSection"/>
        <w:keepNext w:val="true"/>
        <w:keepLines/>
        <w:widowControl/>
        <w:pBdr>
          <w:bottom w:val="single" w:sz="4" w:space="5" w:color="D6D3CD"/>
        </w:pBdr>
        <w:spacing w:lineRule="auto" w:line="240" w:before="190" w:after="120"/>
        <w:rPr>
          <w:rFonts w:ascii="Arial" w:hAnsi="Arial"/>
          <w:b w:val="false"/>
          <w:i w:val="false"/>
          <w:color w:val="171717"/>
          <w:spacing w:val="31"/>
          <w:sz w:val="23"/>
        </w:rPr>
      </w:pPr>
      <w:r>
        <w:rPr>
          <w:rFonts w:ascii="Arial" w:hAnsi="Arial"/>
          <w:b w:val="false"/>
          <w:i w:val="false"/>
          <w:color w:val="171717"/>
          <w:spacing w:val="31"/>
          <w:sz w:val="23"/>
        </w:rPr>
      </w:r>
    </w:p>
    <w:p>
      <w:pPr>
        <w:pStyle w:val="ResumeSection"/>
        <w:widowControl/>
        <w:pBdr>
          <w:bottom w:val="single" w:sz="4" w:space="5" w:color="D6D3CD"/>
        </w:pBdr>
        <w:spacing w:lineRule="auto" w:line="240" w:before="190" w:after="120"/>
        <w:rPr>
          <w:rFonts w:ascii="Arial" w:hAnsi="Arial"/>
          <w:b w:val="false"/>
          <w:i w:val="false"/>
          <w:color w:val="171717"/>
          <w:spacing w:val="31"/>
          <w:sz w:val="23"/>
        </w:rPr>
      </w:pPr>
      <w:r>
        <w:rPr>
          <w:rFonts w:ascii="Arial" w:hAnsi="Arial"/>
          <w:b w:val="false"/>
          <w:i w:val="false"/>
          <w:color w:val="171717"/>
          <w:spacing w:val="31"/>
          <w:sz w:val="23"/>
        </w:rPr>
        <w:t>EARLIER DIGITAL, HOSPITALITY &amp; GOVERNMENT EXPERIENCE</w:t>
      </w:r>
    </w:p>
    <w:p>
      <w:pPr>
        <w:pStyle w:val="ResumeRole"/>
        <w:widowControl/>
        <w:tabs>
          <w:tab w:val="clear" w:pos="720"/>
          <w:tab w:val="right" w:pos="10296" w:leader="none"/>
        </w:tabs>
        <w:spacing w:lineRule="auto" w:line="240" w:before="100" w:after="24"/>
        <w:rPr/>
      </w:pPr>
      <w:r>
        <w:rPr>
          <w:rFonts w:ascii="Arial" w:hAnsi="Arial"/>
          <w:b/>
          <w:i w:val="false"/>
          <w:color w:val="171717"/>
          <w:sz w:val="20"/>
        </w:rPr>
        <w:t>Founder / Business Owner &amp; Digital Product Manager</w:t>
      </w:r>
      <w:r>
        <w:rPr>
          <w:rFonts w:ascii="Arial" w:hAnsi="Arial"/>
          <w:b/>
          <w:i w:val="false"/>
          <w:color w:val="B58B45"/>
          <w:sz w:val="18"/>
        </w:rPr>
        <w:tab/>
        <w:t>Nov 2004 – Apr 2011</w:t>
      </w:r>
    </w:p>
    <w:p>
      <w:pPr>
        <w:pStyle w:val="ResumeRoleMeta"/>
        <w:keepNext w:val="false"/>
        <w:keepLines/>
        <w:widowControl/>
        <w:spacing w:lineRule="auto" w:line="240" w:before="0" w:after="68"/>
        <w:rPr/>
      </w:pPr>
      <w:r>
        <w:rPr>
          <w:rFonts w:ascii="Arial" w:hAnsi="Arial"/>
          <w:b w:val="false"/>
          <w:i/>
          <w:color w:val="676767"/>
          <w:sz w:val="17"/>
        </w:rPr>
        <w:t>Dream Lab &amp; iCafe Web Studios  |  Chicago, IL</w:t>
        <w:br/>
      </w:r>
    </w:p>
    <w:p>
      <w:pPr>
        <w:pStyle w:val="ResumeBody"/>
        <w:keepNext w:val="false"/>
        <w:keepLines/>
        <w:widowControl/>
        <w:spacing w:lineRule="auto" w:line="266" w:before="0" w:after="102"/>
        <w:rPr/>
      </w:pPr>
      <w:r>
        <w:rPr>
          <w:rFonts w:ascii="Arial" w:hAnsi="Arial"/>
          <w:b w:val="false"/>
          <w:i w:val="false"/>
          <w:color w:val="3E3E3E"/>
          <w:sz w:val="19"/>
        </w:rPr>
        <w:t>Founded and operated a hybrid Internet cafe, technology retail location, and web-design studio from initial concept through profitable operation.</w:t>
      </w:r>
    </w:p>
    <w:p>
      <w:pPr>
        <w:pStyle w:val="ResumeBullet"/>
        <w:keepNext w:val="false"/>
        <w:keepLines/>
        <w:widowControl/>
        <w:numPr>
          <w:ilvl w:val="0"/>
          <w:numId w:val="7"/>
        </w:numPr>
        <w:spacing w:lineRule="auto" w:line="264" w:before="0" w:after="74"/>
        <w:ind w:hanging="230" w:left="317"/>
        <w:rPr/>
      </w:pPr>
      <w:r>
        <w:rPr>
          <w:b/>
          <w:i w:val="false"/>
          <w:color w:val="3E3E3E"/>
          <w:sz w:val="19"/>
        </w:rPr>
        <w:t>Startup and P&amp;L ownership.</w:t>
      </w:r>
      <w:r>
        <w:rPr>
          <w:b w:val="false"/>
          <w:i w:val="false"/>
          <w:color w:val="3E3E3E"/>
          <w:sz w:val="19"/>
        </w:rPr>
        <w:t xml:space="preserve"> Opened the physical location from scratch; built the operating model, launched customer services, and achieved profitability within the first six months.</w:t>
      </w:r>
    </w:p>
    <w:p>
      <w:pPr>
        <w:pStyle w:val="ResumeBullet"/>
        <w:keepNext w:val="false"/>
        <w:keepLines/>
        <w:widowControl/>
        <w:numPr>
          <w:ilvl w:val="0"/>
          <w:numId w:val="7"/>
        </w:numPr>
        <w:spacing w:lineRule="auto" w:line="264" w:before="0" w:after="74"/>
        <w:ind w:hanging="230" w:left="317"/>
        <w:rPr/>
      </w:pPr>
      <w:r>
        <w:rPr>
          <w:b/>
          <w:i w:val="false"/>
          <w:color w:val="3E3E3E"/>
          <w:sz w:val="19"/>
        </w:rPr>
        <w:t>Technology operations.</w:t>
      </w:r>
      <w:r>
        <w:rPr>
          <w:b w:val="false"/>
          <w:i w:val="false"/>
          <w:color w:val="3E3E3E"/>
          <w:sz w:val="19"/>
        </w:rPr>
        <w:t xml:space="preserve"> Selected, installed, networked, and administered approximately 40 pay-per-use Internet workstations, including connectivity, user access, maintenance, troubleshooting, and day-to-day availability.</w:t>
      </w:r>
    </w:p>
    <w:p>
      <w:pPr>
        <w:pStyle w:val="ResumeBullet"/>
        <w:keepNext w:val="false"/>
        <w:keepLines/>
        <w:widowControl/>
        <w:numPr>
          <w:ilvl w:val="0"/>
          <w:numId w:val="7"/>
        </w:numPr>
        <w:spacing w:lineRule="auto" w:line="264" w:before="0" w:after="74"/>
        <w:ind w:hanging="230" w:left="317"/>
        <w:rPr/>
      </w:pPr>
      <w:r>
        <w:rPr>
          <w:b/>
          <w:i w:val="false"/>
          <w:color w:val="3E3E3E"/>
          <w:sz w:val="19"/>
        </w:rPr>
        <w:t>Vendor and supply ecosystem.</w:t>
      </w:r>
      <w:r>
        <w:rPr>
          <w:b w:val="false"/>
          <w:i w:val="false"/>
          <w:color w:val="3E3E3E"/>
          <w:sz w:val="19"/>
        </w:rPr>
        <w:t xml:space="preserve"> Established and managed relationships with external distributors for retail merchandise, food, coffee, and other in-store products; managed purchasing, inventory, and product mix.</w:t>
      </w:r>
    </w:p>
    <w:p>
      <w:pPr>
        <w:pStyle w:val="ResumeBullet"/>
        <w:keepNext w:val="false"/>
        <w:keepLines/>
        <w:widowControl/>
        <w:numPr>
          <w:ilvl w:val="0"/>
          <w:numId w:val="7"/>
        </w:numPr>
        <w:spacing w:lineRule="auto" w:line="264" w:before="0" w:after="74"/>
        <w:ind w:hanging="230" w:left="317"/>
        <w:rPr/>
      </w:pPr>
      <w:r>
        <w:rPr>
          <w:b/>
          <w:i w:val="false"/>
          <w:color w:val="3E3E3E"/>
          <w:sz w:val="19"/>
        </w:rPr>
        <w:t>Marketing and digital services.</w:t>
      </w:r>
      <w:r>
        <w:rPr>
          <w:b w:val="false"/>
          <w:i w:val="false"/>
          <w:color w:val="3E3E3E"/>
          <w:sz w:val="19"/>
        </w:rPr>
        <w:t xml:space="preserve"> Directed marketing and advertising for the business while operating the attached web-design studio and leading 40+ website and mobile engagements across discovery, design, development, e-commerce, SEO/PPC, launch, and maintenance.</w:t>
      </w:r>
    </w:p>
    <w:p>
      <w:pPr>
        <w:pStyle w:val="ResumeBullet"/>
        <w:keepNext w:val="false"/>
        <w:keepLines/>
        <w:widowControl/>
        <w:numPr>
          <w:ilvl w:val="0"/>
          <w:numId w:val="7"/>
        </w:numPr>
        <w:spacing w:lineRule="auto" w:line="264" w:before="0" w:after="74"/>
        <w:ind w:hanging="230" w:left="317"/>
        <w:rPr/>
      </w:pPr>
      <w:r>
        <w:rPr>
          <w:b/>
          <w:i w:val="false"/>
          <w:color w:val="3E3E3E"/>
          <w:sz w:val="19"/>
        </w:rPr>
        <w:t>Operational performance.</w:t>
      </w:r>
      <w:r>
        <w:rPr>
          <w:b w:val="false"/>
          <w:i w:val="false"/>
          <w:color w:val="3E3E3E"/>
          <w:sz w:val="19"/>
        </w:rPr>
        <w:t xml:space="preserve"> Implemented inventory and cost controls that reduced annual expenses by approximately 12% while sustaining the cafe, retail, and digital-services revenue streams.</w:t>
      </w:r>
    </w:p>
    <w:p>
      <w:pPr>
        <w:pStyle w:val="ResumeRole"/>
        <w:keepNext w:val="true"/>
        <w:keepLines/>
        <w:widowControl/>
        <w:tabs>
          <w:tab w:val="clear" w:pos="720"/>
          <w:tab w:val="right" w:pos="10296" w:leader="none"/>
        </w:tabs>
        <w:spacing w:lineRule="auto" w:line="240" w:before="100" w:after="24"/>
        <w:rPr>
          <w:rFonts w:ascii="Arial" w:hAnsi="Arial"/>
          <w:b/>
          <w:i w:val="false"/>
          <w:color w:val="171717"/>
          <w:sz w:val="20"/>
        </w:rPr>
      </w:pPr>
      <w:r>
        <w:rPr>
          <w:rFonts w:ascii="Arial" w:hAnsi="Arial"/>
          <w:b/>
          <w:i w:val="false"/>
          <w:color w:val="171717"/>
          <w:sz w:val="20"/>
        </w:rPr>
      </w:r>
    </w:p>
    <w:p>
      <w:pPr>
        <w:pStyle w:val="ResumeRole"/>
        <w:widowControl/>
        <w:tabs>
          <w:tab w:val="clear" w:pos="720"/>
          <w:tab w:val="right" w:pos="10296" w:leader="none"/>
        </w:tabs>
        <w:spacing w:lineRule="auto" w:line="240" w:before="100" w:after="24"/>
        <w:rPr/>
      </w:pPr>
      <w:r>
        <w:rPr>
          <w:rFonts w:ascii="Arial" w:hAnsi="Arial"/>
          <w:b/>
          <w:i w:val="false"/>
          <w:color w:val="171717"/>
          <w:sz w:val="20"/>
        </w:rPr>
        <w:t>General Manager / Web Administrator &amp; Sales Manager</w:t>
      </w:r>
      <w:r>
        <w:rPr>
          <w:rFonts w:ascii="Arial" w:hAnsi="Arial"/>
          <w:b/>
          <w:i w:val="false"/>
          <w:color w:val="B58B45"/>
          <w:sz w:val="18"/>
        </w:rPr>
        <w:tab/>
      </w:r>
      <w:r>
        <w:rPr>
          <w:rFonts w:ascii="Arial" w:hAnsi="Arial"/>
          <w:b w:val="false"/>
          <w:bCs w:val="false"/>
          <w:i w:val="false"/>
          <w:color w:val="B58B45"/>
          <w:sz w:val="18"/>
        </w:rPr>
        <w:t>Jan 2002 – Oct 2004</w:t>
      </w:r>
    </w:p>
    <w:p>
      <w:pPr>
        <w:pStyle w:val="ResumeRoleMeta"/>
        <w:keepNext w:val="false"/>
        <w:keepLines/>
        <w:widowControl/>
        <w:spacing w:lineRule="auto" w:line="240" w:before="0" w:after="68"/>
        <w:rPr/>
      </w:pPr>
      <w:r>
        <w:rPr>
          <w:rFonts w:ascii="Arial" w:hAnsi="Arial"/>
          <w:b/>
          <w:bCs/>
          <w:i/>
          <w:color w:val="676767"/>
          <w:sz w:val="17"/>
        </w:rPr>
        <w:t xml:space="preserve">Taylor's Prime Steakhouse </w:t>
      </w:r>
      <w:r>
        <w:rPr>
          <w:rFonts w:ascii="Arial" w:hAnsi="Arial"/>
          <w:b w:val="false"/>
          <w:i/>
          <w:color w:val="676767"/>
          <w:sz w:val="17"/>
        </w:rPr>
        <w:t xml:space="preserve"> |  Los Angeles, CA</w:t>
        <w:br/>
      </w:r>
    </w:p>
    <w:p>
      <w:pPr>
        <w:pStyle w:val="ResumeBody"/>
        <w:keepNext w:val="false"/>
        <w:keepLines/>
        <w:widowControl/>
        <w:spacing w:lineRule="auto" w:line="266" w:before="0" w:after="102"/>
        <w:rPr/>
      </w:pPr>
      <w:r>
        <w:rPr>
          <w:rFonts w:ascii="Arial" w:hAnsi="Arial"/>
          <w:b w:val="false"/>
          <w:i w:val="false"/>
          <w:color w:val="3E3E3E"/>
          <w:sz w:val="19"/>
        </w:rPr>
        <w:t>Selected to assume full-facility management during an internal leadership breakdown and restore stable restaurant operations.</w:t>
      </w:r>
    </w:p>
    <w:p>
      <w:pPr>
        <w:pStyle w:val="ResumeBullet"/>
        <w:keepNext w:val="false"/>
        <w:keepLines/>
        <w:widowControl/>
        <w:numPr>
          <w:ilvl w:val="0"/>
          <w:numId w:val="7"/>
        </w:numPr>
        <w:spacing w:lineRule="auto" w:line="264" w:before="0" w:after="74"/>
        <w:ind w:hanging="230" w:left="317"/>
        <w:rPr/>
      </w:pPr>
      <w:r>
        <w:rPr>
          <w:b/>
          <w:i w:val="false"/>
          <w:color w:val="3E3E3E"/>
          <w:sz w:val="19"/>
        </w:rPr>
        <w:t>Full-facility leadership.</w:t>
      </w:r>
      <w:r>
        <w:rPr>
          <w:b w:val="false"/>
          <w:i w:val="false"/>
          <w:color w:val="3E3E3E"/>
          <w:sz w:val="19"/>
        </w:rPr>
        <w:t xml:space="preserve"> Took responsibility for day-to-day restaurant operations, staffing, scheduling, service execution, standards, and management accountability.</w:t>
      </w:r>
    </w:p>
    <w:p>
      <w:pPr>
        <w:pStyle w:val="ResumeBullet"/>
        <w:keepNext w:val="false"/>
        <w:keepLines/>
        <w:widowControl/>
        <w:numPr>
          <w:ilvl w:val="0"/>
          <w:numId w:val="7"/>
        </w:numPr>
        <w:spacing w:lineRule="auto" w:line="264" w:before="0" w:after="74"/>
        <w:ind w:hanging="230" w:left="317"/>
        <w:rPr/>
      </w:pPr>
      <w:r>
        <w:rPr>
          <w:b/>
          <w:i w:val="false"/>
          <w:color w:val="3E3E3E"/>
          <w:sz w:val="19"/>
        </w:rPr>
        <w:t>People and payroll management.</w:t>
      </w:r>
      <w:r>
        <w:rPr>
          <w:b w:val="false"/>
          <w:i w:val="false"/>
          <w:color w:val="3E3E3E"/>
          <w:sz w:val="19"/>
        </w:rPr>
        <w:t xml:space="preserve"> Led recruiting, interviewing, hiring, coaching, performance management, terminations, staff administration, and payroll processing.</w:t>
      </w:r>
    </w:p>
    <w:p>
      <w:pPr>
        <w:pStyle w:val="ResumeBullet"/>
        <w:keepNext w:val="false"/>
        <w:keepLines/>
        <w:widowControl/>
        <w:numPr>
          <w:ilvl w:val="0"/>
          <w:numId w:val="7"/>
        </w:numPr>
        <w:spacing w:lineRule="auto" w:line="264" w:before="0" w:after="74"/>
        <w:ind w:hanging="230" w:left="317"/>
        <w:rPr/>
      </w:pPr>
      <w:r>
        <w:rPr>
          <w:b/>
          <w:i w:val="false"/>
          <w:color w:val="3E3E3E"/>
          <w:sz w:val="19"/>
        </w:rPr>
        <w:t>Commercial and digital operations.</w:t>
      </w:r>
      <w:r>
        <w:rPr>
          <w:b w:val="false"/>
          <w:i w:val="false"/>
          <w:color w:val="3E3E3E"/>
          <w:sz w:val="19"/>
        </w:rPr>
        <w:t xml:space="preserve"> Managed the restaurant website, digital marketing, advertising, and sales support while strengthening customer communications and local visibility.</w:t>
      </w:r>
    </w:p>
    <w:p>
      <w:pPr>
        <w:pStyle w:val="ResumeBullet"/>
        <w:keepNext w:val="false"/>
        <w:keepLines/>
        <w:widowControl/>
        <w:numPr>
          <w:ilvl w:val="0"/>
          <w:numId w:val="7"/>
        </w:numPr>
        <w:spacing w:lineRule="auto" w:line="264" w:before="0" w:after="74"/>
        <w:ind w:hanging="230" w:left="317"/>
        <w:rPr/>
      </w:pPr>
      <w:r>
        <w:rPr>
          <w:b/>
          <w:i w:val="false"/>
          <w:color w:val="3E3E3E"/>
          <w:sz w:val="19"/>
        </w:rPr>
        <w:t>Cost and inventory control.</w:t>
      </w:r>
      <w:r>
        <w:rPr>
          <w:b w:val="false"/>
          <w:i w:val="false"/>
          <w:color w:val="3E3E3E"/>
          <w:sz w:val="19"/>
        </w:rPr>
        <w:t xml:space="preserve"> Improved purchasing and inventory discipline, helping reduce annual operating expenses by approximately 12%.</w:t>
      </w:r>
    </w:p>
    <w:p>
      <w:pPr>
        <w:pStyle w:val="ResumeRole"/>
        <w:keepNext w:val="true"/>
        <w:keepLines/>
        <w:widowControl/>
        <w:tabs>
          <w:tab w:val="clear" w:pos="720"/>
          <w:tab w:val="right" w:pos="10296" w:leader="none"/>
        </w:tabs>
        <w:spacing w:lineRule="auto" w:line="240" w:before="100" w:after="24"/>
        <w:rPr>
          <w:rFonts w:ascii="Arial" w:hAnsi="Arial"/>
          <w:b/>
          <w:i w:val="false"/>
          <w:color w:val="171717"/>
          <w:sz w:val="20"/>
        </w:rPr>
      </w:pPr>
      <w:r>
        <w:rPr>
          <w:rFonts w:ascii="Arial" w:hAnsi="Arial"/>
          <w:b/>
          <w:i w:val="false"/>
          <w:color w:val="171717"/>
          <w:sz w:val="20"/>
        </w:rPr>
      </w:r>
    </w:p>
    <w:p>
      <w:pPr>
        <w:pStyle w:val="ResumeRole"/>
        <w:widowControl/>
        <w:tabs>
          <w:tab w:val="clear" w:pos="720"/>
          <w:tab w:val="right" w:pos="10296" w:leader="none"/>
        </w:tabs>
        <w:spacing w:lineRule="auto" w:line="240" w:before="100" w:after="24"/>
        <w:rPr/>
      </w:pPr>
      <w:r>
        <w:rPr>
          <w:rFonts w:ascii="Arial" w:hAnsi="Arial"/>
          <w:b/>
          <w:i w:val="false"/>
          <w:color w:val="171717"/>
          <w:sz w:val="20"/>
        </w:rPr>
        <w:t>Systems Administrator / Executive Technology Liaison</w:t>
      </w:r>
      <w:r>
        <w:rPr>
          <w:rFonts w:ascii="Arial" w:hAnsi="Arial"/>
          <w:b/>
          <w:i w:val="false"/>
          <w:color w:val="B58B45"/>
          <w:sz w:val="18"/>
        </w:rPr>
        <w:tab/>
      </w:r>
      <w:r>
        <w:rPr>
          <w:rFonts w:ascii="Arial" w:hAnsi="Arial"/>
          <w:b w:val="false"/>
          <w:bCs w:val="false"/>
          <w:i w:val="false"/>
          <w:color w:val="B58B45"/>
          <w:sz w:val="18"/>
        </w:rPr>
        <w:t>Feb 1999 – Dec 2001</w:t>
      </w:r>
    </w:p>
    <w:p>
      <w:pPr>
        <w:pStyle w:val="ResumeRoleMeta"/>
        <w:keepNext w:val="false"/>
        <w:keepLines/>
        <w:widowControl/>
        <w:spacing w:lineRule="auto" w:line="240" w:before="0" w:after="68"/>
        <w:rPr/>
      </w:pPr>
      <w:r>
        <w:rPr>
          <w:rFonts w:ascii="Arial" w:hAnsi="Arial"/>
          <w:b/>
          <w:bCs/>
          <w:i/>
          <w:color w:val="676767"/>
          <w:sz w:val="17"/>
        </w:rPr>
        <w:t xml:space="preserve">NAVAIR </w:t>
      </w:r>
      <w:r>
        <w:rPr>
          <w:rFonts w:ascii="Arial" w:hAnsi="Arial"/>
          <w:b w:val="false"/>
          <w:i/>
          <w:color w:val="676767"/>
          <w:sz w:val="17"/>
        </w:rPr>
        <w:t>AIR-4.2 Cost Analysis  |  Patuxent River, MD</w:t>
        <w:br/>
      </w:r>
    </w:p>
    <w:p>
      <w:pPr>
        <w:pStyle w:val="ResumeBody"/>
        <w:keepNext w:val="false"/>
        <w:keepLines/>
        <w:widowControl/>
        <w:spacing w:lineRule="auto" w:line="266" w:before="0" w:after="102"/>
        <w:rPr/>
      </w:pPr>
      <w:r>
        <w:rPr>
          <w:rFonts w:ascii="Arial" w:hAnsi="Arial"/>
          <w:b w:val="false"/>
          <w:i w:val="false"/>
          <w:color w:val="3E3E3E"/>
          <w:sz w:val="19"/>
        </w:rPr>
        <w:t>Managed hardware, software, account access, and technology support for a 200+ person NAVAIR cost-analysis organization.</w:t>
      </w:r>
    </w:p>
    <w:p>
      <w:pPr>
        <w:pStyle w:val="ResumeBullet"/>
        <w:keepNext w:val="false"/>
        <w:keepLines/>
        <w:widowControl/>
        <w:numPr>
          <w:ilvl w:val="0"/>
          <w:numId w:val="7"/>
        </w:numPr>
        <w:spacing w:lineRule="auto" w:line="264" w:before="0" w:after="74"/>
        <w:ind w:hanging="230" w:left="317"/>
        <w:rPr/>
      </w:pPr>
      <w:r>
        <w:rPr>
          <w:b/>
          <w:i w:val="false"/>
          <w:color w:val="3E3E3E"/>
          <w:sz w:val="19"/>
        </w:rPr>
        <w:t>Enterprise user and access administration.</w:t>
      </w:r>
      <w:r>
        <w:rPr>
          <w:b w:val="false"/>
          <w:i w:val="false"/>
          <w:color w:val="3E3E3E"/>
          <w:sz w:val="19"/>
        </w:rPr>
        <w:t xml:space="preserve"> Supported more than 200 users across workstations, hardware, software, Active Directory accounts, permissions, network access, troubleshooting, and lifecycle maintenance.</w:t>
      </w:r>
    </w:p>
    <w:p>
      <w:pPr>
        <w:pStyle w:val="ResumeBullet"/>
        <w:keepNext w:val="false"/>
        <w:keepLines/>
        <w:widowControl/>
        <w:numPr>
          <w:ilvl w:val="0"/>
          <w:numId w:val="7"/>
        </w:numPr>
        <w:spacing w:lineRule="auto" w:line="264" w:before="0" w:after="74"/>
        <w:ind w:hanging="230" w:left="317"/>
        <w:rPr/>
      </w:pPr>
      <w:r>
        <w:rPr>
          <w:b/>
          <w:i w:val="false"/>
          <w:color w:val="3E3E3E"/>
          <w:sz w:val="19"/>
        </w:rPr>
        <w:t>NMCI modernization.</w:t>
      </w:r>
      <w:r>
        <w:rPr>
          <w:b w:val="false"/>
          <w:i w:val="false"/>
          <w:color w:val="3E3E3E"/>
          <w:sz w:val="19"/>
        </w:rPr>
        <w:t xml:space="preserve"> Served as a key contributor to the NMCI transition and major upgrade of approximately 200 systems, coordinating operating-system and software refreshes, migration readiness, testing, issue resolution, and user adoption.</w:t>
      </w:r>
    </w:p>
    <w:p>
      <w:pPr>
        <w:pStyle w:val="ResumeBullet"/>
        <w:keepNext w:val="false"/>
        <w:keepLines/>
        <w:widowControl/>
        <w:numPr>
          <w:ilvl w:val="0"/>
          <w:numId w:val="7"/>
        </w:numPr>
        <w:spacing w:lineRule="auto" w:line="264" w:before="0" w:after="74"/>
        <w:ind w:hanging="230" w:left="317"/>
        <w:rPr/>
      </w:pPr>
      <w:r>
        <w:rPr>
          <w:b/>
          <w:i w:val="false"/>
          <w:color w:val="3E3E3E"/>
          <w:sz w:val="19"/>
        </w:rPr>
        <w:t>Executive technology liaison.</w:t>
      </w:r>
      <w:r>
        <w:rPr>
          <w:b w:val="false"/>
          <w:i w:val="false"/>
          <w:color w:val="3E3E3E"/>
          <w:sz w:val="19"/>
        </w:rPr>
        <w:t xml:space="preserve"> Served as the personal technology liaison to Dave Burgess, Senior Executive Service leader for AIR-4.2 Cost Analysis, evaluating emerging tools and translating them into practical executive use.</w:t>
      </w:r>
    </w:p>
    <w:p>
      <w:pPr>
        <w:pStyle w:val="ResumeBullet"/>
        <w:keepNext w:val="false"/>
        <w:keepLines/>
        <w:widowControl/>
        <w:numPr>
          <w:ilvl w:val="0"/>
          <w:numId w:val="7"/>
        </w:numPr>
        <w:spacing w:lineRule="auto" w:line="264" w:before="0" w:after="74"/>
        <w:ind w:hanging="230" w:left="317"/>
        <w:rPr/>
      </w:pPr>
      <w:r>
        <w:rPr>
          <w:b/>
          <w:i w:val="false"/>
          <w:color w:val="3E3E3E"/>
          <w:sz w:val="19"/>
        </w:rPr>
        <w:t>Early mobile-computing adoption.</w:t>
      </w:r>
      <w:r>
        <w:rPr>
          <w:b w:val="false"/>
          <w:i w:val="false"/>
          <w:color w:val="3E3E3E"/>
          <w:sz w:val="19"/>
        </w:rPr>
        <w:t xml:space="preserve"> Introduced and trained executive leadership on the Compaq iPAQ and connected mobile workflows years before smartphones became mainstream.</w:t>
      </w:r>
    </w:p>
    <w:p>
      <w:pPr>
        <w:pStyle w:val="ResumeBullet"/>
        <w:keepNext w:val="false"/>
        <w:keepLines/>
        <w:widowControl/>
        <w:numPr>
          <w:ilvl w:val="0"/>
          <w:numId w:val="7"/>
        </w:numPr>
        <w:spacing w:lineRule="auto" w:line="264" w:before="0" w:after="74"/>
        <w:ind w:hanging="230" w:left="317"/>
        <w:rPr/>
      </w:pPr>
      <w:r>
        <w:rPr>
          <w:b/>
          <w:i w:val="false"/>
          <w:color w:val="3E3E3E"/>
          <w:sz w:val="19"/>
        </w:rPr>
        <w:t>Systems and web operations.</w:t>
      </w:r>
      <w:r>
        <w:rPr>
          <w:b w:val="false"/>
          <w:i w:val="false"/>
          <w:color w:val="3E3E3E"/>
          <w:sz w:val="19"/>
        </w:rPr>
        <w:t xml:space="preserve"> Administered Red Hat/Apache, IIS/Windows Server, workstations, and network devices and secured approximately $300K in web-services contracts.</w:t>
      </w:r>
    </w:p>
    <w:p>
      <w:pPr>
        <w:pStyle w:val="ResumeBullet"/>
        <w:widowControl/>
        <w:numPr>
          <w:ilvl w:val="0"/>
          <w:numId w:val="0"/>
        </w:numPr>
        <w:spacing w:lineRule="auto" w:line="264" w:before="0" w:after="74"/>
        <w:ind w:hanging="230" w:left="317"/>
        <w:rPr>
          <w:rFonts w:ascii="Arial" w:hAnsi="Arial"/>
          <w:b w:val="false"/>
          <w:i w:val="false"/>
          <w:color w:val="3E3E3E"/>
          <w:sz w:val="19"/>
        </w:rPr>
      </w:pPr>
      <w:r>
        <w:rPr>
          <w:b w:val="false"/>
          <w:i w:val="false"/>
          <w:color w:val="3E3E3E"/>
          <w:sz w:val="19"/>
        </w:rPr>
      </w:r>
    </w:p>
    <w:p>
      <w:pPr>
        <w:pStyle w:val="ResumeBullet"/>
        <w:widowControl/>
        <w:numPr>
          <w:ilvl w:val="0"/>
          <w:numId w:val="0"/>
        </w:numPr>
        <w:spacing w:lineRule="auto" w:line="264" w:before="0" w:after="74"/>
        <w:ind w:hanging="230" w:left="317"/>
        <w:rPr>
          <w:rFonts w:ascii="Arial" w:hAnsi="Arial"/>
          <w:b w:val="false"/>
          <w:i w:val="false"/>
          <w:color w:val="3E3E3E"/>
          <w:sz w:val="19"/>
        </w:rPr>
      </w:pPr>
      <w:r>
        <w:rPr>
          <w:b w:val="false"/>
          <w:i w:val="false"/>
          <w:color w:val="3E3E3E"/>
          <w:sz w:val="19"/>
        </w:rPr>
      </w:r>
    </w:p>
    <w:p>
      <w:pPr>
        <w:pStyle w:val="ResumeBullet"/>
        <w:widowControl/>
        <w:numPr>
          <w:ilvl w:val="0"/>
          <w:numId w:val="0"/>
        </w:numPr>
        <w:spacing w:lineRule="auto" w:line="264" w:before="0" w:after="74"/>
        <w:ind w:hanging="230" w:left="317"/>
        <w:rPr>
          <w:rFonts w:ascii="Arial" w:hAnsi="Arial"/>
          <w:b w:val="false"/>
          <w:i w:val="false"/>
          <w:color w:val="3E3E3E"/>
          <w:sz w:val="19"/>
        </w:rPr>
      </w:pPr>
      <w:r>
        <w:rPr>
          <w:b w:val="false"/>
          <w:i w:val="false"/>
          <w:color w:val="3E3E3E"/>
          <w:sz w:val="19"/>
        </w:rPr>
      </w:r>
      <w:r>
        <w:br w:type="page"/>
      </w:r>
    </w:p>
    <w:p>
      <w:pPr>
        <w:pStyle w:val="ResumeSection"/>
        <w:widowControl/>
        <w:pBdr>
          <w:bottom w:val="single" w:sz="4" w:space="5" w:color="D6D3CD"/>
        </w:pBdr>
        <w:spacing w:lineRule="auto" w:line="240" w:before="0" w:after="120"/>
        <w:rPr>
          <w:b w:val="false"/>
          <w:bCs w:val="false"/>
        </w:rPr>
      </w:pPr>
      <w:r>
        <w:rPr>
          <w:rFonts w:ascii="Arial" w:hAnsi="Arial"/>
          <w:b w:val="false"/>
          <w:bCs w:val="false"/>
          <w:i w:val="false"/>
          <w:color w:val="171717"/>
          <w:spacing w:val="31"/>
          <w:sz w:val="23"/>
        </w:rPr>
        <w:br/>
        <w:t>INNOVATION, APPLIED AI, EDUCATION &amp; CREDENTIALS</w:t>
      </w:r>
    </w:p>
    <w:p>
      <w:pPr>
        <w:pStyle w:val="ResumeBody"/>
        <w:keepNext w:val="false"/>
        <w:keepLines/>
        <w:widowControl/>
        <w:spacing w:lineRule="auto" w:line="266" w:before="0" w:after="102"/>
        <w:rPr/>
      </w:pPr>
      <w:r>
        <w:rPr>
          <w:rFonts w:ascii="Arial" w:hAnsi="Arial"/>
          <w:b w:val="false"/>
          <w:color w:val="4E4E4E"/>
          <w:sz w:val="18"/>
        </w:rPr>
        <w:t>AI product leadership and public practice: Founder of Cenedril and Heddy; hands-on AI consultant/advocate with 6K+ followers; Hospitality Engage keynote speaker and nonprofit/community leader.</w:t>
      </w:r>
    </w:p>
    <w:p>
      <w:pPr>
        <w:pStyle w:val="ResumeBody"/>
        <w:keepNext w:val="false"/>
        <w:keepLines/>
        <w:widowControl/>
        <w:spacing w:lineRule="auto" w:line="266" w:before="0" w:after="102"/>
        <w:rPr/>
      </w:pPr>
      <w:r>
        <w:rPr>
          <w:rFonts w:ascii="Arial" w:hAnsi="Arial"/>
          <w:b w:val="false"/>
          <w:i w:val="false"/>
          <w:color w:val="3E3E3E"/>
          <w:sz w:val="19"/>
        </w:rPr>
        <w:t>Applied AI practice: Uses OpenAI/ChatGPT/Codex, Claude, Gemini, Copilot, Perplexity, Hugging Face, Cursor, LangChain, and local models for agentic workflows, tool-using agents, RAG, prompt/context engineering, rapid prototyping, software development, and human-reviewed evaluation.</w:t>
      </w:r>
    </w:p>
    <w:p>
      <w:pPr>
        <w:pStyle w:val="Normal"/>
        <w:keepNext w:val="false"/>
        <w:keepLines/>
        <w:widowControl/>
        <w:spacing w:lineRule="auto" w:line="252" w:before="0" w:after="70"/>
        <w:rPr/>
      </w:pPr>
      <w:r>
        <w:rPr>
          <w:b/>
          <w:i w:val="false"/>
          <w:color w:val="B58B45"/>
          <w:spacing w:val="10"/>
          <w:sz w:val="19"/>
        </w:rPr>
        <w:t>AI PRODUCT &amp; GOVERNANCE</w:t>
      </w:r>
      <w:r>
        <w:rPr>
          <w:b w:val="false"/>
          <w:i w:val="false"/>
          <w:color w:val="3E3E3E"/>
          <w:sz w:val="19"/>
        </w:rPr>
        <w:t xml:space="preserve"> Generative AI, LLMs, agentic AI, AI agents, tool use and orchestration, RAG, embeddings/vector search, prompt and context engineering, model selection/evaluation, hallucination testing, human-in-the-loop review, guardrails, responsible AI, AI governance, LLMOps/MLOps, AI observability and model monitoring, AI security, latency/cost optimization, and build-versus-buy/vendor evaluation.</w:t>
        <w:br/>
      </w:r>
    </w:p>
    <w:p>
      <w:pPr>
        <w:pStyle w:val="Normal"/>
        <w:keepNext w:val="false"/>
        <w:keepLines/>
        <w:widowControl/>
        <w:spacing w:lineRule="auto" w:line="252" w:before="0" w:after="70"/>
        <w:rPr/>
      </w:pPr>
      <w:r>
        <w:rPr>
          <w:b/>
          <w:i w:val="false"/>
          <w:color w:val="B58B45"/>
          <w:spacing w:val="10"/>
          <w:sz w:val="19"/>
        </w:rPr>
        <w:t>CORE PRODUCT MANAGEMENT</w:t>
      </w:r>
      <w:r>
        <w:rPr>
          <w:b w:val="false"/>
          <w:i w:val="false"/>
          <w:color w:val="3E3E3E"/>
          <w:sz w:val="19"/>
        </w:rPr>
        <w:t xml:space="preserve"> Product vision and strategy, 0-to-1 and 1-to-n product development, product discovery, Voice of the Customer (VoC), user/market/competitive research, business cases, PRDs, use cases, user stories, acceptance criteria, roadmap and backlog prioritization, OKRs/KPIs, product analytics, experimentation, B2B/enterprise SaaS, API-first platforms, GTM, pricing/packaging, commercialization, adoption, activation, retention, and expansion.</w:t>
        <w:br/>
      </w:r>
    </w:p>
    <w:p>
      <w:pPr>
        <w:pStyle w:val="Normal"/>
        <w:keepNext w:val="false"/>
        <w:keepLines/>
        <w:widowControl/>
        <w:spacing w:lineRule="auto" w:line="252" w:before="80" w:after="60"/>
        <w:rPr/>
      </w:pPr>
      <w:r>
        <w:rPr>
          <w:b/>
          <w:i w:val="false"/>
          <w:color w:val="B58B45"/>
          <w:spacing w:val="10"/>
          <w:sz w:val="19"/>
        </w:rPr>
        <w:t>SECURITY &amp; CREDENTIALS</w:t>
      </w:r>
      <w:r>
        <w:rPr>
          <w:b w:val="false"/>
          <w:i w:val="false"/>
          <w:color w:val="3E3E3E"/>
          <w:sz w:val="19"/>
        </w:rPr>
        <w:t xml:space="preserve"> Department of Homeland Security (DHS) Product Management Security Certificate; currently held Secret clearance, sponsored by the Department of Defense (applicant-confirmed October 2026). Experience with Zero Trust/OMB M-22-09, IAM/IGA, RBAC, SSO, MFA, PAM/CIAM, OAuth 2.0, OIDC, SAML, NIST 800-53/RMF, FISMA, FedRAMP, ATO, Section 508/WCAG, vulnerability management, and audit readiness.</w:t>
        <w:br/>
      </w:r>
    </w:p>
    <w:p>
      <w:pPr>
        <w:pStyle w:val="Normal"/>
        <w:keepNext w:val="false"/>
        <w:keepLines/>
        <w:widowControl/>
        <w:spacing w:lineRule="auto" w:line="252" w:before="0" w:after="70"/>
        <w:rPr/>
      </w:pPr>
      <w:r>
        <w:rPr>
          <w:b/>
          <w:i w:val="false"/>
          <w:color w:val="B58B45"/>
          <w:spacing w:val="10"/>
          <w:sz w:val="19"/>
        </w:rPr>
        <w:t>PRODUCT, CLOUD &amp; SECURITY</w:t>
      </w:r>
      <w:r>
        <w:rPr>
          <w:b w:val="false"/>
          <w:i w:val="false"/>
          <w:color w:val="3E3E3E"/>
          <w:sz w:val="19"/>
        </w:rPr>
        <w:t xml:space="preserve"> Jira, Confluence, Aha! Roadmaps and custom dashboards/reporting, Productboard, Azure DevOps, Figma, Miro, Agile/Scrum, SAFe, Kanban, Waterfall, AWS, Azure, Google Cloud, Oracle Cloud, GitHub/GitLab, Jenkins, Docker, Kubernetes, Terraform, APIs/SDKs, CI/CD, DevSecOps, SRE/observability, Selenium, Gatling, Dynatrace, SAP, SQL, Microsoft Excel, HubSpot, Google Analytics/GA4, Amplitude, Mixpanel, Tableau, Looker;  AEM, CRM, SEO/PPC, marketing automation, e-commerce, and SBOM.</w:t>
      </w:r>
    </w:p>
    <w:p>
      <w:pPr>
        <w:pStyle w:val="ResumeSection"/>
        <w:keepNext w:val="true"/>
        <w:keepLines/>
        <w:widowControl/>
        <w:pBdr>
          <w:bottom w:val="single" w:sz="4" w:space="5" w:color="D6D3CD"/>
        </w:pBdr>
        <w:spacing w:lineRule="auto" w:line="240" w:before="160" w:after="120"/>
        <w:rPr>
          <w:b/>
          <w:bCs/>
        </w:rPr>
      </w:pPr>
      <w:r>
        <w:rPr>
          <w:b/>
          <w:bCs/>
        </w:rPr>
      </w:r>
    </w:p>
    <w:p>
      <w:pPr>
        <w:pStyle w:val="ResumeSection"/>
        <w:widowControl/>
        <w:pBdr>
          <w:bottom w:val="single" w:sz="4" w:space="5" w:color="D6D3CD"/>
        </w:pBdr>
        <w:spacing w:lineRule="auto" w:line="240" w:before="160" w:after="120"/>
        <w:rPr>
          <w:b w:val="false"/>
          <w:bCs w:val="false"/>
          <w:sz w:val="22"/>
          <w:szCs w:val="22"/>
        </w:rPr>
      </w:pPr>
      <w:r>
        <w:rPr>
          <w:rFonts w:ascii="Arial" w:hAnsi="Arial"/>
          <w:b w:val="false"/>
          <w:bCs w:val="false"/>
          <w:i w:val="false"/>
          <w:color w:val="171717"/>
          <w:spacing w:val="31"/>
          <w:sz w:val="22"/>
          <w:szCs w:val="22"/>
        </w:rPr>
        <w:t>EDUCATION &amp; EXECUTIVE DEVELOPMENT</w:t>
      </w:r>
    </w:p>
    <w:p>
      <w:pPr>
        <w:pStyle w:val="BodyText"/>
        <w:spacing w:lineRule="auto" w:line="247" w:before="0" w:after="50"/>
        <w:rPr/>
      </w:pPr>
      <w:r>
        <w:rPr>
          <w:rStyle w:val="Strong"/>
        </w:rPr>
        <w:t>Harvard Business School Online</w:t>
      </w:r>
      <w:r>
        <w:rPr/>
        <w:t xml:space="preserve"> — Business Analytics, Disruptive Strategy, Technology Management, Management Coursework &amp; Negotiation Mastery; Certificates of Completion | </w:t>
      </w:r>
      <w:r>
        <w:rPr>
          <w:rStyle w:val="Strong"/>
        </w:rPr>
        <w:t>Apr 2016 – Dec 2018</w:t>
      </w:r>
    </w:p>
    <w:p>
      <w:pPr>
        <w:pStyle w:val="BodyText"/>
        <w:spacing w:lineRule="auto" w:line="247" w:before="0" w:after="50"/>
        <w:rPr/>
      </w:pPr>
      <w:r>
        <w:rPr>
          <w:rStyle w:val="Strong"/>
        </w:rPr>
        <w:t>Computer Learning Center</w:t>
      </w:r>
      <w:r>
        <w:rPr/>
        <w:t xml:space="preserve"> — </w:t>
      </w:r>
      <w:r>
        <w:rPr>
          <w:rStyle w:val="Strong"/>
        </w:rPr>
        <w:t>Bachelor’s Degree, Computer Science</w:t>
      </w:r>
      <w:r>
        <w:rPr/>
        <w:t xml:space="preserve"> | </w:t>
      </w:r>
      <w:r>
        <w:rPr>
          <w:rStyle w:val="Strong"/>
        </w:rPr>
        <w:t xml:space="preserve">Sep </w:t>
      </w:r>
      <w:r>
        <w:rPr>
          <w:rStyle w:val="Strong"/>
        </w:rPr>
        <w:t xml:space="preserve">1, </w:t>
      </w:r>
      <w:r>
        <w:rPr>
          <w:rStyle w:val="Strong"/>
        </w:rPr>
        <w:t xml:space="preserve">2000 – Jun </w:t>
      </w:r>
      <w:r>
        <w:rPr>
          <w:rStyle w:val="Strong"/>
        </w:rPr>
        <w:t>20,</w:t>
      </w:r>
      <w:r>
        <w:rPr>
          <w:rStyle w:val="Strong"/>
        </w:rPr>
        <w:t xml:space="preserve"> 2004</w:t>
      </w:r>
    </w:p>
    <w:p>
      <w:pPr>
        <w:pStyle w:val="Normal"/>
        <w:widowControl/>
        <w:spacing w:lineRule="auto" w:line="247" w:before="0" w:after="50"/>
        <w:rPr>
          <w:b w:val="false"/>
          <w:i w:val="false"/>
          <w:color w:val="3E3E3E"/>
          <w:sz w:val="18"/>
        </w:rPr>
      </w:pPr>
      <w:r>
        <w:rPr>
          <w:b w:val="false"/>
          <w:i w:val="false"/>
          <w:color w:val="3E3E3E"/>
          <w:sz w:val="18"/>
        </w:rPr>
      </w:r>
    </w:p>
    <w:sectPr>
      <w:headerReference w:type="even" r:id="rId5"/>
      <w:headerReference w:type="default" r:id="rId6"/>
      <w:headerReference w:type="first" r:id="rId7"/>
      <w:footerReference w:type="even" r:id="rId8"/>
      <w:footerReference w:type="default" r:id="rId9"/>
      <w:footerReference w:type="first" r:id="rId10"/>
      <w:type w:val="nextPage"/>
      <w:pgSz w:w="12240" w:h="15840"/>
      <w:pgMar w:left="792" w:right="792" w:gutter="0" w:header="317" w:top="490" w:footer="230" w:bottom="662"/>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mbria">
    <w:charset w:val="01"/>
    <w:family w:val="roman"/>
    <w:pitch w:val="variable"/>
  </w:font>
  <w:font w:name="Arial">
    <w:charset w:val="01"/>
    <w:family w:val="swiss"/>
    <w:pitch w:val="variable"/>
  </w:font>
  <w:font w:name="Calibri">
    <w:charset w:val="01"/>
    <w:family w:val="roman"/>
    <w:pitch w:val="variable"/>
  </w:font>
  <w:font w:name="Courier">
    <w:altName w:val="Courier New"/>
    <w:charset w:val="01"/>
    <w:family w:val="roman"/>
    <w:pitch w:val="variable"/>
  </w:font>
  <w:font w:name="Liberation Sans">
    <w:altName w:val="Arial"/>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hd w:val="clear" w:fill="171717"/>
      <w:spacing w:lineRule="auto" w:line="240" w:before="0" w:after="0"/>
      <w:ind w:left="-29" w:right="-29"/>
      <w:jc w:val="center"/>
      <w:rPr/>
    </w:pPr>
    <w:r>
      <w:rPr>
        <w:b/>
        <w:i w:val="false"/>
        <w:color w:val="FFFFFF"/>
        <w:spacing w:val="4"/>
        <w:sz w:val="13"/>
      </w:rPr>
      <w:t xml:space="preserve">    </w:t>
    </w:r>
    <w:r>
      <w:rPr>
        <w:b/>
        <w:i w:val="false"/>
        <w:color w:val="FFFFFF"/>
        <w:spacing w:val="4"/>
        <w:sz w:val="13"/>
      </w:rPr>
      <w:t xml:space="preserve">Joseph Bulynko   </w:t>
    </w:r>
    <w:r>
      <w:rPr>
        <w:b w:val="false"/>
        <w:i w:val="false"/>
        <w:color w:val="B58B45"/>
        <w:spacing w:val="4"/>
        <w:sz w:val="13"/>
      </w:rPr>
      <w:t xml:space="preserve">|  </w:t>
    </w:r>
    <w:hyperlink r:id="rId1">
      <w:r>
        <w:rPr>
          <w:rStyle w:val="Style"/>
          <w:b/>
          <w:i w:val="false"/>
          <w:color w:val="FFFFFF"/>
          <w:spacing w:val="4"/>
          <w:sz w:val="13"/>
          <w:u w:val="none"/>
        </w:rPr>
        <w:t>Mobile 571-531-0061</w:t>
      </w:r>
    </w:hyperlink>
    <w:r>
      <w:rPr>
        <w:b w:val="false"/>
        <w:i w:val="false"/>
        <w:color w:val="B58B45"/>
        <w:spacing w:val="4"/>
        <w:sz w:val="13"/>
      </w:rPr>
      <w:t xml:space="preserve">  |  </w:t>
    </w:r>
    <w:hyperlink r:id="rId2">
      <w:r>
        <w:rPr>
          <w:rStyle w:val="Style"/>
          <w:b/>
          <w:i w:val="false"/>
          <w:color w:val="FFFFFF"/>
          <w:spacing w:val="4"/>
          <w:sz w:val="13"/>
          <w:u w:val="none"/>
        </w:rPr>
        <w:t>Joseph.bulynko@</w:t>
      </w:r>
    </w:hyperlink>
    <w:r>
      <w:rPr>
        <w:b/>
        <w:i w:val="false"/>
        <w:color w:val="FFFFFF"/>
        <w:spacing w:val="4"/>
        <w:sz w:val="13"/>
        <w:u w:val="none"/>
      </w:rPr>
      <w:t>gmail.com</w:t>
    </w:r>
    <w:r>
      <w:rPr>
        <w:b w:val="false"/>
        <w:i w:val="false"/>
        <w:color w:val="B58B45"/>
        <w:spacing w:val="4"/>
        <w:sz w:val="13"/>
      </w:rPr>
      <w:t xml:space="preserve">  |  </w:t>
    </w:r>
    <w:hyperlink r:id="rId3">
      <w:r>
        <w:rPr>
          <w:rStyle w:val="Style"/>
          <w:b/>
          <w:i w:val="false"/>
          <w:color w:val="FFFFFF"/>
          <w:spacing w:val="4"/>
          <w:sz w:val="13"/>
          <w:u w:val="none"/>
        </w:rPr>
        <w:t>L</w:t>
      </w:r>
    </w:hyperlink>
    <w:r>
      <w:rPr>
        <w:b/>
        <w:i w:val="false"/>
        <w:color w:val="FFFFFF"/>
        <w:spacing w:val="4"/>
        <w:sz w:val="13"/>
        <w:u w:val="none"/>
      </w:rPr>
      <w:t>inkedin.com/in/joseph-bulynko</w:t>
    </w:r>
    <w:r>
      <w:rPr>
        <w:b w:val="false"/>
        <w:i w:val="false"/>
        <w:color w:val="B58B45"/>
        <w:spacing w:val="4"/>
        <w:sz w:val="13"/>
      </w:rPr>
      <w:t xml:space="preserve">  |  PAGE </w:t>
    </w:r>
    <w:r>
      <w:rPr>
        <w:b w:val="false"/>
        <w:i w:val="false"/>
        <w:color w:val="FFFFFF"/>
        <w:spacing w:val="4"/>
        <w:sz w:val="13"/>
      </w:rPr>
      <w:fldChar w:fldCharType="begin"/>
    </w:r>
    <w:r>
      <w:rPr>
        <w:b w:val="false"/>
        <w:i w:val="false"/>
        <w:color w:val="FFFFFF"/>
        <w:spacing w:val="4"/>
        <w:sz w:val="13"/>
      </w:rPr>
      <w:instrText xml:space="preserve"> PAGE </w:instrText>
    </w:r>
    <w:r>
      <w:rPr>
        <w:b w:val="false"/>
        <w:i w:val="false"/>
        <w:color w:val="FFFFFF"/>
        <w:spacing w:val="4"/>
        <w:sz w:val="13"/>
      </w:rPr>
      <w:fldChar w:fldCharType="separate"/>
    </w:r>
    <w:r>
      <w:rPr>
        <w:b w:val="false"/>
        <w:i w:val="false"/>
        <w:color w:val="FFFFFF"/>
        <w:spacing w:val="4"/>
        <w:sz w:val="13"/>
      </w:rPr>
      <w:t>5</w:t>
    </w:r>
    <w:r>
      <w:rPr>
        <w:b w:val="false"/>
        <w:i w:val="false"/>
        <w:color w:val="FFFFFF"/>
        <w:spacing w:val="4"/>
        <w:sz w:val="13"/>
      </w:rPr>
      <w:fldChar w:fldCharType="end"/>
    </w:r>
    <w:r>
      <w:rPr>
        <w:b w:val="false"/>
        <w:i w:val="false"/>
        <w:color w:val="FFFFFF"/>
        <w:sz w:val="13"/>
      </w:rPr>
      <w:t xml:space="preserve">  </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hd w:val="clear" w:fill="171717"/>
      <w:spacing w:lineRule="auto" w:line="240" w:before="0" w:after="0"/>
      <w:ind w:left="-29" w:right="-29"/>
      <w:jc w:val="center"/>
      <w:rPr/>
    </w:pPr>
    <w:r>
      <w:rPr>
        <w:b/>
        <w:i w:val="false"/>
        <w:color w:val="FFFFFF"/>
        <w:spacing w:val="4"/>
        <w:sz w:val="13"/>
      </w:rPr>
      <w:t xml:space="preserve">  </w:t>
    </w:r>
    <w:r>
      <w:rPr>
        <w:b/>
        <w:i w:val="false"/>
        <w:color w:val="FFFFFF"/>
        <w:spacing w:val="4"/>
        <w:sz w:val="13"/>
      </w:rPr>
      <w:t xml:space="preserve">Joseph Bulynko   </w:t>
    </w:r>
    <w:r>
      <w:rPr>
        <w:b w:val="false"/>
        <w:i w:val="false"/>
        <w:color w:val="B58B45"/>
        <w:spacing w:val="4"/>
        <w:sz w:val="13"/>
      </w:rPr>
      <w:t xml:space="preserve">|  </w:t>
    </w:r>
    <w:hyperlink r:id="rId1">
      <w:r>
        <w:rPr>
          <w:rStyle w:val="Style"/>
          <w:b/>
          <w:i w:val="false"/>
          <w:color w:val="FFFFFF"/>
          <w:spacing w:val="4"/>
          <w:sz w:val="13"/>
          <w:u w:val="none"/>
        </w:rPr>
        <w:t>Mobile 571-531-0061</w:t>
      </w:r>
    </w:hyperlink>
    <w:r>
      <w:rPr>
        <w:b w:val="false"/>
        <w:i w:val="false"/>
        <w:color w:val="B58B45"/>
        <w:spacing w:val="4"/>
        <w:sz w:val="13"/>
      </w:rPr>
      <w:t xml:space="preserve">  |  </w:t>
    </w:r>
    <w:hyperlink r:id="rId2">
      <w:r>
        <w:rPr>
          <w:rStyle w:val="Style"/>
          <w:b/>
          <w:i w:val="false"/>
          <w:color w:val="FFFFFF"/>
          <w:spacing w:val="4"/>
          <w:sz w:val="13"/>
          <w:u w:val="none"/>
        </w:rPr>
        <w:t>Joseph.bulynko@</w:t>
      </w:r>
    </w:hyperlink>
    <w:r>
      <w:rPr>
        <w:b/>
        <w:i w:val="false"/>
        <w:color w:val="FFFFFF"/>
        <w:spacing w:val="4"/>
        <w:sz w:val="13"/>
        <w:u w:val="none"/>
      </w:rPr>
      <w:t>gmail.com</w:t>
    </w:r>
    <w:r>
      <w:rPr>
        <w:b w:val="false"/>
        <w:i w:val="false"/>
        <w:color w:val="B58B45"/>
        <w:spacing w:val="4"/>
        <w:sz w:val="13"/>
      </w:rPr>
      <w:t xml:space="preserve">  |  </w:t>
    </w:r>
    <w:hyperlink r:id="rId3">
      <w:r>
        <w:rPr>
          <w:rStyle w:val="Style"/>
          <w:b/>
          <w:i w:val="false"/>
          <w:color w:val="FFFFFF"/>
          <w:spacing w:val="4"/>
          <w:sz w:val="13"/>
          <w:u w:val="none"/>
        </w:rPr>
        <w:t>L</w:t>
      </w:r>
    </w:hyperlink>
    <w:r>
      <w:rPr>
        <w:b/>
        <w:i w:val="false"/>
        <w:color w:val="FFFFFF"/>
        <w:spacing w:val="4"/>
        <w:sz w:val="13"/>
        <w:u w:val="none"/>
      </w:rPr>
      <w:t>inkedin.com/in/joseph-bulynko</w:t>
    </w:r>
    <w:r>
      <w:rPr>
        <w:b w:val="false"/>
        <w:i w:val="false"/>
        <w:color w:val="B58B45"/>
        <w:spacing w:val="4"/>
        <w:sz w:val="13"/>
      </w:rPr>
      <w:t xml:space="preserve">  |  PAGE </w:t>
    </w:r>
    <w:r>
      <w:rPr>
        <w:b w:val="false"/>
        <w:i w:val="false"/>
        <w:color w:val="FFFFFF"/>
        <w:spacing w:val="4"/>
        <w:sz w:val="13"/>
      </w:rPr>
      <w:fldChar w:fldCharType="begin"/>
    </w:r>
    <w:r>
      <w:rPr>
        <w:b w:val="false"/>
        <w:i w:val="false"/>
        <w:color w:val="FFFFFF"/>
        <w:spacing w:val="4"/>
        <w:sz w:val="13"/>
      </w:rPr>
      <w:instrText xml:space="preserve"> PAGE </w:instrText>
    </w:r>
    <w:r>
      <w:rPr>
        <w:b w:val="false"/>
        <w:i w:val="false"/>
        <w:color w:val="FFFFFF"/>
        <w:spacing w:val="4"/>
        <w:sz w:val="13"/>
      </w:rPr>
      <w:fldChar w:fldCharType="separate"/>
    </w:r>
    <w:r>
      <w:rPr>
        <w:b w:val="false"/>
        <w:i w:val="false"/>
        <w:color w:val="FFFFFF"/>
        <w:spacing w:val="4"/>
        <w:sz w:val="13"/>
      </w:rPr>
      <w:t>1</w:t>
    </w:r>
    <w:r>
      <w:rPr>
        <w:b w:val="false"/>
        <w:i w:val="false"/>
        <w:color w:val="FFFFFF"/>
        <w:spacing w:val="4"/>
        <w:sz w:val="13"/>
      </w:rPr>
      <w:fldChar w:fldCharType="end"/>
    </w:r>
    <w:r>
      <w:rPr>
        <w:b w:val="false"/>
        <w:i w:val="false"/>
        <w:color w:val="FFFFFF"/>
        <w:sz w:val="13"/>
      </w:rPr>
      <w:t xml:space="preserve">  </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pBdr>
        <w:bottom w:val="single" w:sz="4" w:space="4" w:color="B58B45"/>
      </w:pBdr>
      <w:spacing w:before="0" w:after="60"/>
      <w:jc w:val="left"/>
      <w:rPr/>
    </w:pPr>
    <w:r>
      <w:rPr>
        <w:b/>
        <w:i w:val="false"/>
        <w:color w:val="676767"/>
        <w:spacing w:val="14"/>
        <w:sz w:val="15"/>
      </w:rPr>
      <w:t xml:space="preserve">Joseph Bulynko </w:t>
    </w:r>
    <w:r>
      <w:rPr>
        <w:b/>
        <w:i w:val="false"/>
        <w:color w:val="646464"/>
        <w:spacing w:val="14"/>
        <w:sz w:val="15"/>
      </w:rPr>
      <w:t xml:space="preserve"> |  </w:t>
    </w:r>
    <w:r>
      <w:rPr>
        <w:b/>
        <w:i w:val="false"/>
        <w:color w:val="676767"/>
        <w:spacing w:val="14"/>
        <w:sz w:val="15"/>
      </w:rPr>
      <w:t>3020 Log Cabin Pl, Bryans Rd MD 20616</w:t>
    </w:r>
    <w:r>
      <w:rPr>
        <w:b/>
        <w:i w:val="false"/>
        <w:color w:val="646464"/>
        <w:spacing w:val="14"/>
        <w:sz w:val="15"/>
      </w:rPr>
      <w:t xml:space="preserve">  |   AI / AUTOMATION PRODUCT MANAGEMENT</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
    <w:lvl w:ilvl="0">
      <w:start w:val="1"/>
      <w:numFmt w:val="bullet"/>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3">
    <w:lvl w:ilvl="0">
      <w:start w:val="1"/>
      <w:numFmt w:val="bullet"/>
      <w:lvlText w:val=""/>
      <w:lvlJc w:val="left"/>
      <w:pPr>
        <w:tabs>
          <w:tab w:val="num" w:pos="1080"/>
        </w:tabs>
        <w:ind w:left="108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4">
    <w:lvl w:ilvl="0">
      <w:start w:val="1"/>
      <w:numFmt w:val="decimal"/>
      <w:lvlText w:val="%1."/>
      <w:lvlJc w:val="left"/>
      <w:pPr>
        <w:tabs>
          <w:tab w:val="num" w:pos="360"/>
        </w:tabs>
        <w:ind w:left="36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5">
    <w:lvl w:ilvl="0">
      <w:start w:val="1"/>
      <w:numFmt w:val="decimal"/>
      <w:lvlText w:val="%1."/>
      <w:lvlJc w:val="left"/>
      <w:pPr>
        <w:tabs>
          <w:tab w:val="num" w:pos="720"/>
        </w:tabs>
        <w:ind w:left="72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6">
    <w:lvl w:ilvl="0">
      <w:start w:val="1"/>
      <w:numFmt w:val="decimal"/>
      <w:lvlText w:val="%1."/>
      <w:lvlJc w:val="left"/>
      <w:pPr>
        <w:tabs>
          <w:tab w:val="num" w:pos="1080"/>
        </w:tabs>
        <w:ind w:left="108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7">
    <w:lvl w:ilvl="0">
      <w:start w:val="1"/>
      <w:numFmt w:val="bullet"/>
      <w:lvlText w:val=""/>
      <w:lvlJc w:val="left"/>
      <w:pPr>
        <w:tabs>
          <w:tab w:val="num" w:pos="320"/>
        </w:tabs>
        <w:ind w:left="320" w:hanging="220"/>
      </w:pPr>
      <w:rPr>
        <w:rFonts w:ascii="Symbol" w:hAnsi="Symbol" w:cs="Symbol" w:hint="default"/>
        <w:color w:val="B58B45"/>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8">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mbria" w:hAnsi="Cambria" w:eastAsia="" w:cs="" w:asciiTheme="minorHAnsi" w:cstheme="minorBidi" w:eastAsiaTheme="minorEastAsia" w:hAnsiTheme="minorHAnsi"/>
        <w:sz w:val="22"/>
        <w:szCs w:val="22"/>
        <w:lang w:val="en-US" w:eastAsia="en-US" w:bidi="ar-SA"/>
      </w:rPr>
    </w:rPrDefault>
    <w:pPrDefault>
      <w:pPr>
        <w:suppressAutoHyphens w:val="true"/>
      </w:pPr>
    </w:pPrDefault>
  </w:docDefaults>
  <w:latentStyles w:defLockedState="0" w:defUIPriority="99" w:defSemiHidden="1" w:defUnhideWhenUsed="1" w:defQFormat="0" w:count="276">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fc693f"/>
    <w:pPr>
      <w:widowControl/>
      <w:suppressAutoHyphens w:val="true"/>
      <w:bidi w:val="0"/>
      <w:spacing w:lineRule="auto" w:line="254" w:before="0" w:after="66"/>
      <w:jc w:val="left"/>
    </w:pPr>
    <w:rPr>
      <w:rFonts w:ascii="Arial" w:hAnsi="Arial" w:eastAsia="ＭＳ 明朝" w:cs=""/>
      <w:color w:val="3E3E3E"/>
      <w:kern w:val="0"/>
      <w:sz w:val="18"/>
      <w:szCs w:val="22"/>
      <w:lang w:val="en-US" w:eastAsia="en-US" w:bidi="ar-SA"/>
    </w:rPr>
  </w:style>
  <w:style w:type="paragraph" w:styleId="Heading1">
    <w:name w:val="heading 1"/>
    <w:basedOn w:val="Normal"/>
    <w:next w:val="Normal"/>
    <w:link w:val="Heading1Char"/>
    <w:uiPriority w:val="9"/>
    <w:qFormat/>
    <w:rsid w:val="00fc693f"/>
    <w:pPr>
      <w:keepNext w:val="true"/>
      <w:keepLines/>
      <w:spacing w:before="480" w:after="0"/>
      <w:outlineLvl w:val="0"/>
    </w:pPr>
    <w:rPr>
      <w:rFonts w:ascii="Calibri" w:hAnsi="Calibri" w:eastAsia="" w:cs="" w:asciiTheme="majorHAnsi" w:cstheme="majorBidi" w:eastAsiaTheme="majorEastAsia" w:hAnsiTheme="majorHAnsi"/>
      <w:b/>
      <w:bCs/>
      <w:color w:themeColor="accent1" w:themeShade="bf" w:val="365F91"/>
      <w:sz w:val="28"/>
      <w:szCs w:val="28"/>
    </w:rPr>
  </w:style>
  <w:style w:type="paragraph" w:styleId="Heading2">
    <w:name w:val="heading 2"/>
    <w:basedOn w:val="Normal"/>
    <w:next w:val="Normal"/>
    <w:link w:val="Heading2Char"/>
    <w:uiPriority w:val="9"/>
    <w:unhideWhenUsed/>
    <w:qFormat/>
    <w:rsid w:val="00fc693f"/>
    <w:pPr>
      <w:keepNext w:val="true"/>
      <w:keepLines/>
      <w:spacing w:before="200" w:after="0"/>
      <w:outlineLvl w:val="1"/>
    </w:pPr>
    <w:rPr>
      <w:rFonts w:ascii="Calibri" w:hAnsi="Calibri" w:eastAsia="" w:cs="" w:asciiTheme="majorHAnsi" w:cstheme="majorBidi" w:eastAsiaTheme="majorEastAsia" w:hAnsiTheme="majorHAnsi"/>
      <w:b/>
      <w:bCs/>
      <w:color w:themeColor="accent1" w:val="4F81BD"/>
      <w:sz w:val="26"/>
      <w:szCs w:val="26"/>
    </w:rPr>
  </w:style>
  <w:style w:type="paragraph" w:styleId="Heading3">
    <w:name w:val="heading 3"/>
    <w:basedOn w:val="Normal"/>
    <w:next w:val="Normal"/>
    <w:link w:val="Heading3Char"/>
    <w:uiPriority w:val="9"/>
    <w:unhideWhenUsed/>
    <w:qFormat/>
    <w:rsid w:val="00fc693f"/>
    <w:pPr>
      <w:keepNext w:val="true"/>
      <w:keepLines/>
      <w:spacing w:before="200" w:after="0"/>
      <w:outlineLvl w:val="2"/>
    </w:pPr>
    <w:rPr>
      <w:rFonts w:ascii="Calibri" w:hAnsi="Calibri" w:eastAsia="" w:cs="" w:asciiTheme="majorHAnsi" w:cstheme="majorBidi" w:eastAsiaTheme="majorEastAsia" w:hAnsiTheme="majorHAnsi"/>
      <w:b/>
      <w:bCs/>
      <w:color w:themeColor="accent1" w:val="4F81BD"/>
    </w:rPr>
  </w:style>
  <w:style w:type="paragraph" w:styleId="Heading4">
    <w:name w:val="heading 4"/>
    <w:basedOn w:val="Normal"/>
    <w:next w:val="Normal"/>
    <w:link w:val="Heading4Char"/>
    <w:uiPriority w:val="9"/>
    <w:semiHidden/>
    <w:unhideWhenUsed/>
    <w:qFormat/>
    <w:rsid w:val="00fc693f"/>
    <w:pPr>
      <w:keepNext w:val="true"/>
      <w:keepLines/>
      <w:spacing w:before="200" w:after="0"/>
      <w:outlineLvl w:val="3"/>
    </w:pPr>
    <w:rPr>
      <w:rFonts w:ascii="Calibri" w:hAnsi="Calibri" w:eastAsia="" w:cs="" w:asciiTheme="majorHAnsi" w:cstheme="majorBidi" w:eastAsiaTheme="majorEastAsia" w:hAnsiTheme="majorHAnsi"/>
      <w:b/>
      <w:bCs/>
      <w:i/>
      <w:iCs/>
      <w:color w:themeColor="accent1" w:val="4F81BD"/>
    </w:rPr>
  </w:style>
  <w:style w:type="paragraph" w:styleId="Heading5">
    <w:name w:val="heading 5"/>
    <w:basedOn w:val="Normal"/>
    <w:next w:val="Normal"/>
    <w:link w:val="Heading5Char"/>
    <w:uiPriority w:val="9"/>
    <w:semiHidden/>
    <w:unhideWhenUsed/>
    <w:qFormat/>
    <w:rsid w:val="00fc693f"/>
    <w:pPr>
      <w:keepNext w:val="true"/>
      <w:keepLines/>
      <w:spacing w:before="200" w:after="0"/>
      <w:outlineLvl w:val="4"/>
    </w:pPr>
    <w:rPr>
      <w:rFonts w:ascii="Calibri" w:hAnsi="Calibri" w:eastAsia="" w:cs="" w:asciiTheme="majorHAnsi" w:cstheme="majorBidi" w:eastAsiaTheme="majorEastAsia" w:hAnsiTheme="majorHAnsi"/>
      <w:color w:themeColor="accent1" w:themeShade="7f" w:val="243F60"/>
    </w:rPr>
  </w:style>
  <w:style w:type="paragraph" w:styleId="Heading6">
    <w:name w:val="heading 6"/>
    <w:basedOn w:val="Normal"/>
    <w:next w:val="Normal"/>
    <w:link w:val="Heading6Char"/>
    <w:uiPriority w:val="9"/>
    <w:semiHidden/>
    <w:unhideWhenUsed/>
    <w:qFormat/>
    <w:rsid w:val="00fc693f"/>
    <w:pPr>
      <w:keepNext w:val="true"/>
      <w:keepLines/>
      <w:spacing w:before="200" w:after="0"/>
      <w:outlineLvl w:val="5"/>
    </w:pPr>
    <w:rPr>
      <w:rFonts w:ascii="Calibri" w:hAnsi="Calibri" w:eastAsia="" w:cs="" w:asciiTheme="majorHAnsi" w:cstheme="majorBidi" w:eastAsiaTheme="majorEastAsia" w:hAnsiTheme="majorHAnsi"/>
      <w:i/>
      <w:iCs/>
      <w:color w:themeColor="accent1" w:themeShade="7f" w:val="243F60"/>
    </w:rPr>
  </w:style>
  <w:style w:type="paragraph" w:styleId="Heading7">
    <w:name w:val="heading 7"/>
    <w:basedOn w:val="Normal"/>
    <w:next w:val="Normal"/>
    <w:link w:val="Heading7Char"/>
    <w:uiPriority w:val="9"/>
    <w:semiHidden/>
    <w:unhideWhenUsed/>
    <w:qFormat/>
    <w:rsid w:val="00fc693f"/>
    <w:pPr>
      <w:keepNext w:val="true"/>
      <w:keepLines/>
      <w:spacing w:before="200" w:after="0"/>
      <w:outlineLvl w:val="6"/>
    </w:pPr>
    <w:rPr>
      <w:rFonts w:ascii="Calibri" w:hAnsi="Calibri" w:eastAsia="" w:cs="" w:asciiTheme="majorHAnsi" w:cstheme="majorBidi" w:eastAsiaTheme="majorEastAsia" w:hAnsiTheme="majorHAnsi"/>
      <w:i/>
      <w:iCs/>
      <w:color w:themeColor="text1" w:themeTint="bf" w:val="404040"/>
    </w:rPr>
  </w:style>
  <w:style w:type="paragraph" w:styleId="Heading8">
    <w:name w:val="heading 8"/>
    <w:basedOn w:val="Normal"/>
    <w:next w:val="Normal"/>
    <w:link w:val="Heading8Char"/>
    <w:uiPriority w:val="9"/>
    <w:semiHidden/>
    <w:unhideWhenUsed/>
    <w:qFormat/>
    <w:rsid w:val="00fc693f"/>
    <w:pPr>
      <w:keepNext w:val="true"/>
      <w:keepLines/>
      <w:spacing w:before="200" w:after="0"/>
      <w:outlineLvl w:val="7"/>
    </w:pPr>
    <w:rPr>
      <w:rFonts w:ascii="Calibri" w:hAnsi="Calibri" w:eastAsia="" w:cs="" w:asciiTheme="majorHAnsi" w:cstheme="majorBidi" w:eastAsiaTheme="majorEastAsia" w:hAnsiTheme="majorHAnsi"/>
      <w:color w:themeColor="accent1" w:val="4F81BD"/>
      <w:sz w:val="20"/>
      <w:szCs w:val="20"/>
    </w:rPr>
  </w:style>
  <w:style w:type="paragraph" w:styleId="Heading9">
    <w:name w:val="heading 9"/>
    <w:basedOn w:val="Normal"/>
    <w:next w:val="Normal"/>
    <w:link w:val="Heading9Char"/>
    <w:uiPriority w:val="9"/>
    <w:semiHidden/>
    <w:unhideWhenUsed/>
    <w:qFormat/>
    <w:rsid w:val="00fc693f"/>
    <w:pPr>
      <w:keepNext w:val="true"/>
      <w:keepLines/>
      <w:spacing w:before="200" w:after="0"/>
      <w:outlineLvl w:val="8"/>
    </w:pPr>
    <w:rPr>
      <w:rFonts w:ascii="Calibri" w:hAnsi="Calibri" w:eastAsia="" w:cs="" w:asciiTheme="majorHAnsi" w:cstheme="majorBidi" w:eastAsiaTheme="majorEastAsia" w:hAnsiTheme="majorHAnsi"/>
      <w:i/>
      <w:iCs/>
      <w:color w:themeColor="text1" w:themeTint="bf" w:val="404040"/>
      <w:sz w:val="20"/>
      <w:szCs w:val="20"/>
    </w:rPr>
  </w:style>
  <w:style w:type="character" w:styleId="HeaderChar" w:customStyle="1">
    <w:name w:val="Header Char"/>
    <w:basedOn w:val="DefaultParagraphFont"/>
    <w:link w:val="Header"/>
    <w:uiPriority w:val="99"/>
    <w:qFormat/>
    <w:rsid w:val="00e618bf"/>
    <w:rPr/>
  </w:style>
  <w:style w:type="character" w:styleId="FooterChar" w:customStyle="1">
    <w:name w:val="Footer Char"/>
    <w:basedOn w:val="DefaultParagraphFont"/>
    <w:link w:val="Footer"/>
    <w:uiPriority w:val="99"/>
    <w:qFormat/>
    <w:rsid w:val="00e618bf"/>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9"/>
    <w:qFormat/>
    <w:rsid w:val="00fc693f"/>
    <w:rPr>
      <w:rFonts w:ascii="Calibri" w:hAnsi="Calibri" w:eastAsia="" w:cs="" w:asciiTheme="majorHAnsi" w:cstheme="majorBidi" w:eastAsiaTheme="majorEastAsia" w:hAnsiTheme="majorHAnsi"/>
      <w:b/>
      <w:bCs/>
      <w:color w:themeColor="accent1" w:themeShade="bf" w:val="365F91"/>
      <w:sz w:val="28"/>
      <w:szCs w:val="28"/>
    </w:rPr>
  </w:style>
  <w:style w:type="character" w:styleId="Heading2Char" w:customStyle="1">
    <w:name w:val="Heading 2 Char"/>
    <w:basedOn w:val="DefaultParagraphFont"/>
    <w:link w:val="Heading2"/>
    <w:uiPriority w:val="9"/>
    <w:qFormat/>
    <w:rsid w:val="00fc693f"/>
    <w:rPr>
      <w:rFonts w:ascii="Calibri" w:hAnsi="Calibri" w:eastAsia="" w:cs="" w:asciiTheme="majorHAnsi" w:cstheme="majorBidi" w:eastAsiaTheme="majorEastAsia" w:hAnsiTheme="majorHAnsi"/>
      <w:b/>
      <w:bCs/>
      <w:color w:themeColor="accent1" w:val="4F81BD"/>
      <w:sz w:val="26"/>
      <w:szCs w:val="26"/>
    </w:rPr>
  </w:style>
  <w:style w:type="character" w:styleId="Heading3Char" w:customStyle="1">
    <w:name w:val="Heading 3 Char"/>
    <w:basedOn w:val="DefaultParagraphFont"/>
    <w:link w:val="Heading3"/>
    <w:uiPriority w:val="9"/>
    <w:qFormat/>
    <w:rsid w:val="00fc693f"/>
    <w:rPr>
      <w:rFonts w:ascii="Calibri" w:hAnsi="Calibri" w:eastAsia="" w:cs="" w:asciiTheme="majorHAnsi" w:cstheme="majorBidi" w:eastAsiaTheme="majorEastAsia" w:hAnsiTheme="majorHAnsi"/>
      <w:b/>
      <w:bCs/>
      <w:color w:themeColor="accent1" w:val="4F81BD"/>
    </w:rPr>
  </w:style>
  <w:style w:type="character" w:styleId="TitleChar" w:customStyle="1">
    <w:name w:val="Title Char"/>
    <w:basedOn w:val="DefaultParagraphFont"/>
    <w:link w:val="Title"/>
    <w:uiPriority w:val="10"/>
    <w:qFormat/>
    <w:rsid w:val="00fc693f"/>
    <w:rPr>
      <w:rFonts w:ascii="Calibri" w:hAnsi="Calibri" w:eastAsia="" w:cs="" w:asciiTheme="majorHAnsi" w:cstheme="majorBidi" w:eastAsiaTheme="majorEastAsia" w:hAnsiTheme="majorHAnsi"/>
      <w:color w:themeColor="text2" w:themeShade="bf" w:val="17365D"/>
      <w:spacing w:val="5"/>
      <w:kern w:val="2"/>
      <w:sz w:val="52"/>
      <w:szCs w:val="52"/>
    </w:rPr>
  </w:style>
  <w:style w:type="character" w:styleId="SubtitleChar" w:customStyle="1">
    <w:name w:val="Subtitle Char"/>
    <w:basedOn w:val="DefaultParagraphFont"/>
    <w:link w:val="Subtitle"/>
    <w:uiPriority w:val="11"/>
    <w:qFormat/>
    <w:rsid w:val="00fc693f"/>
    <w:rPr>
      <w:rFonts w:ascii="Calibri" w:hAnsi="Calibri" w:eastAsia="" w:cs="" w:asciiTheme="majorHAnsi" w:cstheme="majorBidi" w:eastAsiaTheme="majorEastAsia" w:hAnsiTheme="majorHAnsi"/>
      <w:i/>
      <w:iCs/>
      <w:color w:themeColor="accent1" w:val="4F81BD"/>
      <w:spacing w:val="15"/>
      <w:sz w:val="24"/>
      <w:szCs w:val="24"/>
    </w:rPr>
  </w:style>
  <w:style w:type="character" w:styleId="BodyTextChar" w:customStyle="1">
    <w:name w:val="Body Text Char"/>
    <w:basedOn w:val="DefaultParagraphFont"/>
    <w:uiPriority w:val="99"/>
    <w:qFormat/>
    <w:rsid w:val="00aa1d8d"/>
    <w:rPr/>
  </w:style>
  <w:style w:type="character" w:styleId="BodyText2Char" w:customStyle="1">
    <w:name w:val="Body Text 2 Char"/>
    <w:basedOn w:val="DefaultParagraphFont"/>
    <w:link w:val="BodyText2"/>
    <w:uiPriority w:val="99"/>
    <w:qFormat/>
    <w:rsid w:val="00aa1d8d"/>
    <w:rPr/>
  </w:style>
  <w:style w:type="character" w:styleId="BodyText3Char" w:customStyle="1">
    <w:name w:val="Body Text 3 Char"/>
    <w:basedOn w:val="DefaultParagraphFont"/>
    <w:link w:val="BodyText3"/>
    <w:uiPriority w:val="99"/>
    <w:qFormat/>
    <w:rsid w:val="00aa1d8d"/>
    <w:rPr>
      <w:sz w:val="16"/>
      <w:szCs w:val="16"/>
    </w:rPr>
  </w:style>
  <w:style w:type="character" w:styleId="MacroTextChar" w:customStyle="1">
    <w:name w:val="Macro Text Char"/>
    <w:basedOn w:val="DefaultParagraphFont"/>
    <w:link w:val="MacroText"/>
    <w:uiPriority w:val="99"/>
    <w:qFormat/>
    <w:rsid w:val="0029639d"/>
    <w:rPr>
      <w:rFonts w:ascii="Courier" w:hAnsi="Courier"/>
      <w:sz w:val="20"/>
      <w:szCs w:val="20"/>
    </w:rPr>
  </w:style>
  <w:style w:type="character" w:styleId="QuoteChar" w:customStyle="1">
    <w:name w:val="Quote Char"/>
    <w:basedOn w:val="DefaultParagraphFont"/>
    <w:link w:val="Quote"/>
    <w:uiPriority w:val="29"/>
    <w:qFormat/>
    <w:rsid w:val="00fc693f"/>
    <w:rPr>
      <w:i/>
      <w:iCs/>
      <w:color w:themeColor="text1" w:val="000000"/>
    </w:rPr>
  </w:style>
  <w:style w:type="character" w:styleId="Heading4Char" w:customStyle="1">
    <w:name w:val="Heading 4 Char"/>
    <w:basedOn w:val="DefaultParagraphFont"/>
    <w:link w:val="Heading4"/>
    <w:uiPriority w:val="9"/>
    <w:semiHidden/>
    <w:qFormat/>
    <w:rsid w:val="00fc693f"/>
    <w:rPr>
      <w:rFonts w:ascii="Calibri" w:hAnsi="Calibri" w:eastAsia="" w:cs="" w:asciiTheme="majorHAnsi" w:cstheme="majorBidi" w:eastAsiaTheme="majorEastAsia" w:hAnsiTheme="majorHAnsi"/>
      <w:b/>
      <w:bCs/>
      <w:i/>
      <w:iCs/>
      <w:color w:themeColor="accent1" w:val="4F81BD"/>
    </w:rPr>
  </w:style>
  <w:style w:type="character" w:styleId="Heading5Char" w:customStyle="1">
    <w:name w:val="Heading 5 Char"/>
    <w:basedOn w:val="DefaultParagraphFont"/>
    <w:link w:val="Heading5"/>
    <w:uiPriority w:val="9"/>
    <w:semiHidden/>
    <w:qFormat/>
    <w:rsid w:val="00fc693f"/>
    <w:rPr>
      <w:rFonts w:ascii="Calibri" w:hAnsi="Calibri" w:eastAsia="" w:cs="" w:asciiTheme="majorHAnsi" w:cstheme="majorBidi" w:eastAsiaTheme="majorEastAsia" w:hAnsiTheme="majorHAnsi"/>
      <w:color w:themeColor="accent1" w:themeShade="7f" w:val="243F60"/>
    </w:rPr>
  </w:style>
  <w:style w:type="character" w:styleId="Heading6Char" w:customStyle="1">
    <w:name w:val="Heading 6 Char"/>
    <w:basedOn w:val="DefaultParagraphFont"/>
    <w:link w:val="Heading6"/>
    <w:uiPriority w:val="9"/>
    <w:semiHidden/>
    <w:qFormat/>
    <w:rsid w:val="00fc693f"/>
    <w:rPr>
      <w:rFonts w:ascii="Calibri" w:hAnsi="Calibri" w:eastAsia="" w:cs="" w:asciiTheme="majorHAnsi" w:cstheme="majorBidi" w:eastAsiaTheme="majorEastAsia" w:hAnsiTheme="majorHAnsi"/>
      <w:i/>
      <w:iCs/>
      <w:color w:themeColor="accent1" w:themeShade="7f" w:val="243F60"/>
    </w:rPr>
  </w:style>
  <w:style w:type="character" w:styleId="Heading7Char" w:customStyle="1">
    <w:name w:val="Heading 7 Char"/>
    <w:basedOn w:val="DefaultParagraphFont"/>
    <w:link w:val="Heading7"/>
    <w:uiPriority w:val="9"/>
    <w:semiHidden/>
    <w:qFormat/>
    <w:rsid w:val="00fc693f"/>
    <w:rPr>
      <w:rFonts w:ascii="Calibri" w:hAnsi="Calibri" w:eastAsia="" w:cs="" w:asciiTheme="majorHAnsi" w:cstheme="majorBidi" w:eastAsiaTheme="majorEastAsia" w:hAnsiTheme="majorHAnsi"/>
      <w:i/>
      <w:iCs/>
      <w:color w:themeColor="text1" w:themeTint="bf" w:val="404040"/>
    </w:rPr>
  </w:style>
  <w:style w:type="character" w:styleId="Heading8Char" w:customStyle="1">
    <w:name w:val="Heading 8 Char"/>
    <w:basedOn w:val="DefaultParagraphFont"/>
    <w:link w:val="Heading8"/>
    <w:uiPriority w:val="9"/>
    <w:semiHidden/>
    <w:qFormat/>
    <w:rsid w:val="00fc693f"/>
    <w:rPr>
      <w:rFonts w:ascii="Calibri" w:hAnsi="Calibri" w:eastAsia="" w:cs="" w:asciiTheme="majorHAnsi" w:cstheme="majorBidi" w:eastAsiaTheme="majorEastAsia" w:hAnsiTheme="majorHAnsi"/>
      <w:color w:themeColor="accent1" w:val="4F81BD"/>
      <w:sz w:val="20"/>
      <w:szCs w:val="20"/>
    </w:rPr>
  </w:style>
  <w:style w:type="character" w:styleId="Heading9Char" w:customStyle="1">
    <w:name w:val="Heading 9 Char"/>
    <w:basedOn w:val="DefaultParagraphFont"/>
    <w:link w:val="Heading9"/>
    <w:uiPriority w:val="9"/>
    <w:semiHidden/>
    <w:qFormat/>
    <w:rsid w:val="00fc693f"/>
    <w:rPr>
      <w:rFonts w:ascii="Calibri" w:hAnsi="Calibri" w:eastAsia="" w:cs="" w:asciiTheme="majorHAnsi" w:cstheme="majorBidi" w:eastAsiaTheme="majorEastAsia" w:hAnsiTheme="majorHAnsi"/>
      <w:i/>
      <w:iCs/>
      <w:color w:themeColor="text1" w:themeTint="bf" w:val="404040"/>
      <w:sz w:val="20"/>
      <w:szCs w:val="20"/>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character" w:styleId="IntenseQuoteChar" w:customStyle="1">
    <w:name w:val="Intense Quote Char"/>
    <w:basedOn w:val="DefaultParagraphFont"/>
    <w:link w:val="IntenseQuote"/>
    <w:uiPriority w:val="30"/>
    <w:qFormat/>
    <w:rsid w:val="00fc693f"/>
    <w:rPr>
      <w:b/>
      <w:bCs/>
      <w:i/>
      <w:iCs/>
      <w:color w:themeColor="accent1" w:val="4F81BD"/>
    </w:rPr>
  </w:style>
  <w:style w:type="character" w:styleId="SubtleEmphasis">
    <w:name w:val="Subtle Emphasis"/>
    <w:basedOn w:val="DefaultParagraphFont"/>
    <w:uiPriority w:val="19"/>
    <w:qFormat/>
    <w:rsid w:val="00fc693f"/>
    <w:rPr>
      <w:i/>
      <w:iCs/>
      <w:color w:themeColor="text1" w:themeTint="7f" w:val="808080"/>
    </w:rPr>
  </w:style>
  <w:style w:type="character" w:styleId="IntenseEmphasis">
    <w:name w:val="Intense Emphasis"/>
    <w:basedOn w:val="DefaultParagraphFont"/>
    <w:uiPriority w:val="21"/>
    <w:qFormat/>
    <w:rsid w:val="00fc693f"/>
    <w:rPr>
      <w:b/>
      <w:bCs/>
      <w:i/>
      <w:iCs/>
      <w:color w:themeColor="accent1" w:val="4F81BD"/>
    </w:rPr>
  </w:style>
  <w:style w:type="character" w:styleId="SubtleReference">
    <w:name w:val="Subtle Reference"/>
    <w:basedOn w:val="DefaultParagraphFont"/>
    <w:uiPriority w:val="31"/>
    <w:qFormat/>
    <w:rsid w:val="00fc693f"/>
    <w:rPr>
      <w:smallCaps/>
      <w:color w:themeColor="accent2" w:val="C0504D"/>
      <w:u w:val="single"/>
    </w:rPr>
  </w:style>
  <w:style w:type="character" w:styleId="IntenseReference">
    <w:name w:val="Intense Reference"/>
    <w:basedOn w:val="DefaultParagraphFont"/>
    <w:uiPriority w:val="32"/>
    <w:qFormat/>
    <w:rsid w:val="00fc693f"/>
    <w:rPr>
      <w:b/>
      <w:bCs/>
      <w:smallCaps/>
      <w:color w:themeColor="accent2" w:val="C0504D"/>
      <w:spacing w:val="5"/>
      <w:u w:val="single"/>
    </w:rPr>
  </w:style>
  <w:style w:type="character" w:styleId="BookTitle">
    <w:name w:val="Book Title"/>
    <w:basedOn w:val="DefaultParagraphFont"/>
    <w:uiPriority w:val="33"/>
    <w:qFormat/>
    <w:rsid w:val="00fc693f"/>
    <w:rPr>
      <w:b/>
      <w:bCs/>
      <w:smallCaps/>
      <w:spacing w:val="5"/>
    </w:rPr>
  </w:style>
  <w:style w:type="character" w:styleId="Hyperlink">
    <w:name w:val="Hyperlink"/>
    <w:rPr>
      <w:color w:val="000080"/>
      <w:u w:val="single"/>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link w:val="BodyTextChar"/>
    <w:uiPriority w:val="99"/>
    <w:unhideWhenUsed/>
    <w:rsid w:val="00aa1d8d"/>
    <w:pPr>
      <w:spacing w:before="0" w:after="120"/>
    </w:pPr>
    <w:rPr/>
  </w:style>
  <w:style w:type="paragraph" w:styleId="List">
    <w:name w:val="List"/>
    <w:basedOn w:val="Normal"/>
    <w:uiPriority w:val="99"/>
    <w:unhideWhenUsed/>
    <w:rsid w:val="00aa1d8d"/>
    <w:pPr>
      <w:spacing w:before="0" w:after="66"/>
      <w:ind w:hanging="360" w:left="360"/>
      <w:contextualSpacing/>
    </w:pPr>
    <w:rPr/>
  </w:style>
  <w:style w:type="paragraph" w:styleId="Caption">
    <w:name w:val="caption"/>
    <w:basedOn w:val="Normal"/>
    <w:next w:val="Normal"/>
    <w:uiPriority w:val="35"/>
    <w:semiHidden/>
    <w:unhideWhenUsed/>
    <w:qFormat/>
    <w:rsid w:val="00fc693f"/>
    <w:pPr>
      <w:spacing w:lineRule="auto" w:line="240"/>
    </w:pPr>
    <w:rPr>
      <w:b/>
      <w:bCs/>
      <w:color w:themeColor="accent1" w:val="4F81BD"/>
      <w:sz w:val="18"/>
      <w:szCs w:val="18"/>
    </w:rPr>
  </w:style>
  <w:style w:type="paragraph" w:styleId="Index">
    <w:name w:val="Index"/>
    <w:basedOn w:val="Normal"/>
    <w:qFormat/>
    <w:pPr>
      <w:suppressLineNumbers/>
    </w:pPr>
    <w:rPr>
      <w:rFonts w:cs="Lucida Sans"/>
    </w:rPr>
  </w:style>
  <w:style w:type="paragraph" w:styleId="HeaderandFooter">
    <w:name w:val="Header and Footer"/>
    <w:basedOn w:val="Normal"/>
    <w:qFormat/>
    <w:pPr/>
    <w:rPr/>
  </w:style>
  <w:style w:type="paragraph" w:styleId="Header">
    <w:name w:val="header"/>
    <w:basedOn w:val="Normal"/>
    <w:link w:val="HeaderChar"/>
    <w:uiPriority w:val="99"/>
    <w:unhideWhenUsed/>
    <w:rsid w:val="00e618bf"/>
    <w:pPr>
      <w:tabs>
        <w:tab w:val="clear" w:pos="720"/>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e618bf"/>
    <w:pPr>
      <w:tabs>
        <w:tab w:val="clear" w:pos="720"/>
        <w:tab w:val="center" w:pos="4680" w:leader="none"/>
        <w:tab w:val="right" w:pos="9360" w:leader="none"/>
      </w:tabs>
      <w:spacing w:lineRule="auto" w:line="240" w:before="0" w:after="0"/>
    </w:pPr>
    <w:rPr/>
  </w:style>
  <w:style w:type="paragraph" w:styleId="NoSpacing">
    <w:name w:val="No Spacing"/>
    <w:uiPriority w:val="1"/>
    <w:qFormat/>
    <w:rsid w:val="00fc693f"/>
    <w:pPr>
      <w:widowControl/>
      <w:suppressAutoHyphens w:val="true"/>
      <w:bidi w:val="0"/>
      <w:spacing w:lineRule="auto" w:line="240" w:before="0" w:after="0"/>
      <w:jc w:val="left"/>
    </w:pPr>
    <w:rPr>
      <w:rFonts w:ascii="Cambria" w:hAnsi="Cambria" w:eastAsia="" w:cs="" w:asciiTheme="minorHAnsi" w:cstheme="minorBidi" w:eastAsiaTheme="minorEastAsia" w:hAnsiTheme="minorHAnsi"/>
      <w:color w:val="auto"/>
      <w:kern w:val="0"/>
      <w:sz w:val="22"/>
      <w:szCs w:val="22"/>
      <w:lang w:val="en-US" w:eastAsia="en-US" w:bidi="ar-SA"/>
    </w:rPr>
  </w:style>
  <w:style w:type="paragraph" w:styleId="Title">
    <w:name w:val="Title"/>
    <w:basedOn w:val="Normal"/>
    <w:next w:val="Normal"/>
    <w:link w:val="TitleChar"/>
    <w:uiPriority w:val="10"/>
    <w:qFormat/>
    <w:rsid w:val="00fc693f"/>
    <w:pPr>
      <w:pBdr>
        <w:bottom w:val="single" w:sz="8" w:space="4" w:color="4F81BD" w:themeColor="accent1"/>
      </w:pBdr>
      <w:spacing w:lineRule="auto" w:line="240" w:before="0" w:after="300"/>
      <w:contextualSpacing/>
    </w:pPr>
    <w:rPr>
      <w:rFonts w:ascii="Calibri" w:hAnsi="Calibri" w:eastAsia="" w:cs="" w:asciiTheme="majorHAnsi" w:cstheme="majorBidi" w:eastAsiaTheme="majorEastAsia" w:hAnsiTheme="majorHAnsi"/>
      <w:color w:themeColor="text2" w:themeShade="bf" w:val="17365D"/>
      <w:spacing w:val="5"/>
      <w:kern w:val="2"/>
      <w:sz w:val="52"/>
      <w:szCs w:val="52"/>
    </w:rPr>
  </w:style>
  <w:style w:type="paragraph" w:styleId="Subtitle">
    <w:name w:val="Subtitle"/>
    <w:basedOn w:val="Normal"/>
    <w:next w:val="Normal"/>
    <w:link w:val="SubtitleChar"/>
    <w:uiPriority w:val="11"/>
    <w:qFormat/>
    <w:rsid w:val="00fc693f"/>
    <w:pPr/>
    <w:rPr>
      <w:rFonts w:ascii="Calibri" w:hAnsi="Calibri" w:eastAsia="" w:cs="" w:asciiTheme="majorHAnsi" w:cstheme="majorBidi" w:eastAsiaTheme="majorEastAsia" w:hAnsiTheme="majorHAnsi"/>
      <w:i/>
      <w:iCs/>
      <w:color w:themeColor="accent1" w:val="4F81BD"/>
      <w:spacing w:val="15"/>
      <w:sz w:val="24"/>
      <w:szCs w:val="24"/>
    </w:rPr>
  </w:style>
  <w:style w:type="paragraph" w:styleId="ListParagraph">
    <w:name w:val="List Paragraph"/>
    <w:basedOn w:val="Normal"/>
    <w:uiPriority w:val="34"/>
    <w:qFormat/>
    <w:rsid w:val="00fc693f"/>
    <w:pPr>
      <w:spacing w:before="0" w:after="66"/>
      <w:ind w:left="720"/>
      <w:contextualSpacing/>
    </w:pPr>
    <w:rPr/>
  </w:style>
  <w:style w:type="paragraph" w:styleId="BodyText2">
    <w:name w:val="Body Text 2"/>
    <w:basedOn w:val="Normal"/>
    <w:link w:val="BodyText2Char"/>
    <w:uiPriority w:val="99"/>
    <w:unhideWhenUsed/>
    <w:qFormat/>
    <w:rsid w:val="00aa1d8d"/>
    <w:pPr>
      <w:spacing w:lineRule="auto" w:line="480" w:before="0" w:after="120"/>
    </w:pPr>
    <w:rPr/>
  </w:style>
  <w:style w:type="paragraph" w:styleId="BodyText3">
    <w:name w:val="Body Text 3"/>
    <w:basedOn w:val="Normal"/>
    <w:link w:val="BodyText3Char"/>
    <w:uiPriority w:val="99"/>
    <w:unhideWhenUsed/>
    <w:qFormat/>
    <w:rsid w:val="00aa1d8d"/>
    <w:pPr>
      <w:spacing w:before="0" w:after="120"/>
    </w:pPr>
    <w:rPr>
      <w:sz w:val="16"/>
      <w:szCs w:val="16"/>
    </w:rPr>
  </w:style>
  <w:style w:type="paragraph" w:styleId="List2">
    <w:name w:val="List 2"/>
    <w:basedOn w:val="Normal"/>
    <w:uiPriority w:val="99"/>
    <w:unhideWhenUsed/>
    <w:qFormat/>
    <w:rsid w:val="00326f90"/>
    <w:pPr>
      <w:spacing w:before="0" w:after="66"/>
      <w:ind w:hanging="360" w:left="720"/>
      <w:contextualSpacing/>
    </w:pPr>
    <w:rPr/>
  </w:style>
  <w:style w:type="paragraph" w:styleId="List3">
    <w:name w:val="List 3"/>
    <w:basedOn w:val="Normal"/>
    <w:uiPriority w:val="99"/>
    <w:unhideWhenUsed/>
    <w:qFormat/>
    <w:rsid w:val="00326f90"/>
    <w:pPr>
      <w:spacing w:before="0" w:after="66"/>
      <w:ind w:hanging="360" w:left="1080"/>
      <w:contextualSpacing/>
    </w:pPr>
    <w:rPr/>
  </w:style>
  <w:style w:type="paragraph" w:styleId="ListBullet">
    <w:name w:val="List Bullet"/>
    <w:basedOn w:val="Normal"/>
    <w:uiPriority w:val="99"/>
    <w:unhideWhenUsed/>
    <w:rsid w:val="00326f90"/>
    <w:pPr>
      <w:numPr>
        <w:ilvl w:val="0"/>
        <w:numId w:val="1"/>
      </w:numPr>
      <w:spacing w:before="0" w:after="66"/>
      <w:contextualSpacing/>
    </w:pPr>
    <w:rPr/>
  </w:style>
  <w:style w:type="paragraph" w:styleId="ListBullet2">
    <w:name w:val="List Bullet 2"/>
    <w:basedOn w:val="Normal"/>
    <w:uiPriority w:val="99"/>
    <w:unhideWhenUsed/>
    <w:rsid w:val="00326f90"/>
    <w:pPr>
      <w:numPr>
        <w:ilvl w:val="0"/>
        <w:numId w:val="2"/>
      </w:numPr>
      <w:spacing w:before="0" w:after="66"/>
      <w:contextualSpacing/>
    </w:pPr>
    <w:rPr/>
  </w:style>
  <w:style w:type="paragraph" w:styleId="ListBullet3">
    <w:name w:val="List Bullet 3"/>
    <w:basedOn w:val="Normal"/>
    <w:uiPriority w:val="99"/>
    <w:unhideWhenUsed/>
    <w:rsid w:val="00326f90"/>
    <w:pPr>
      <w:numPr>
        <w:ilvl w:val="0"/>
        <w:numId w:val="3"/>
      </w:numPr>
      <w:spacing w:before="0" w:after="66"/>
      <w:contextualSpacing/>
    </w:pPr>
    <w:rPr/>
  </w:style>
  <w:style w:type="paragraph" w:styleId="ListNumber">
    <w:name w:val="List Number"/>
    <w:basedOn w:val="Normal"/>
    <w:uiPriority w:val="99"/>
    <w:unhideWhenUsed/>
    <w:rsid w:val="00326f90"/>
    <w:pPr>
      <w:numPr>
        <w:ilvl w:val="0"/>
        <w:numId w:val="4"/>
      </w:numPr>
      <w:spacing w:before="0" w:after="66"/>
      <w:contextualSpacing/>
    </w:pPr>
    <w:rPr/>
  </w:style>
  <w:style w:type="paragraph" w:styleId="ListNumber2">
    <w:name w:val="List Number 2"/>
    <w:basedOn w:val="Normal"/>
    <w:uiPriority w:val="99"/>
    <w:unhideWhenUsed/>
    <w:rsid w:val="0029639d"/>
    <w:pPr>
      <w:numPr>
        <w:ilvl w:val="0"/>
        <w:numId w:val="5"/>
      </w:numPr>
      <w:spacing w:before="0" w:after="66"/>
      <w:contextualSpacing/>
    </w:pPr>
    <w:rPr/>
  </w:style>
  <w:style w:type="paragraph" w:styleId="ListNumber3">
    <w:name w:val="List Number 3"/>
    <w:basedOn w:val="Normal"/>
    <w:uiPriority w:val="99"/>
    <w:unhideWhenUsed/>
    <w:rsid w:val="0029639d"/>
    <w:pPr>
      <w:numPr>
        <w:ilvl w:val="0"/>
        <w:numId w:val="6"/>
      </w:numPr>
      <w:spacing w:before="0" w:after="66"/>
      <w:contextualSpacing/>
    </w:pPr>
    <w:rPr/>
  </w:style>
  <w:style w:type="paragraph" w:styleId="ListContinue">
    <w:name w:val="List Continue"/>
    <w:basedOn w:val="Normal"/>
    <w:uiPriority w:val="99"/>
    <w:unhideWhenUsed/>
    <w:rsid w:val="0029639d"/>
    <w:pPr>
      <w:spacing w:before="0" w:after="120"/>
      <w:ind w:left="360"/>
      <w:contextualSpacing/>
    </w:pPr>
    <w:rPr/>
  </w:style>
  <w:style w:type="paragraph" w:styleId="ListContinue2">
    <w:name w:val="List Continue 2"/>
    <w:basedOn w:val="Normal"/>
    <w:uiPriority w:val="99"/>
    <w:unhideWhenUsed/>
    <w:rsid w:val="0029639d"/>
    <w:pPr>
      <w:spacing w:before="0" w:after="120"/>
      <w:ind w:left="720"/>
      <w:contextualSpacing/>
    </w:pPr>
    <w:rPr/>
  </w:style>
  <w:style w:type="paragraph" w:styleId="ListContinue3">
    <w:name w:val="List Continue 3"/>
    <w:basedOn w:val="Normal"/>
    <w:uiPriority w:val="99"/>
    <w:unhideWhenUsed/>
    <w:rsid w:val="0029639d"/>
    <w:pPr>
      <w:spacing w:before="0" w:after="120"/>
      <w:ind w:left="1080"/>
      <w:contextualSpacing/>
    </w:pPr>
    <w:rPr/>
  </w:style>
  <w:style w:type="paragraph" w:styleId="MacroText">
    <w:name w:val="macro"/>
    <w:link w:val="MacroTextChar"/>
    <w:uiPriority w:val="99"/>
    <w:unhideWhenUsed/>
    <w:qFormat/>
    <w:rsid w:val="0029639d"/>
    <w:pPr>
      <w:widowControl/>
      <w:tabs>
        <w:tab w:val="clear" w:pos="720"/>
        <w:tab w:val="left" w:pos="576" w:leader="none"/>
        <w:tab w:val="left" w:pos="1152" w:leader="none"/>
        <w:tab w:val="left" w:pos="1728" w:leader="none"/>
        <w:tab w:val="left" w:pos="2304" w:leader="none"/>
        <w:tab w:val="left" w:pos="2880" w:leader="none"/>
        <w:tab w:val="left" w:pos="3456" w:leader="none"/>
        <w:tab w:val="left" w:pos="4032" w:leader="none"/>
      </w:tabs>
      <w:suppressAutoHyphens w:val="true"/>
      <w:bidi w:val="0"/>
      <w:spacing w:lineRule="auto" w:line="276" w:before="0" w:after="200"/>
      <w:jc w:val="left"/>
    </w:pPr>
    <w:rPr>
      <w:rFonts w:ascii="Courier" w:hAnsi="Courier" w:eastAsia="" w:cs="" w:cstheme="minorBidi" w:eastAsiaTheme="minorEastAsia"/>
      <w:color w:val="auto"/>
      <w:kern w:val="0"/>
      <w:sz w:val="20"/>
      <w:szCs w:val="20"/>
      <w:lang w:val="en-US" w:eastAsia="en-US" w:bidi="ar-SA"/>
    </w:rPr>
  </w:style>
  <w:style w:type="paragraph" w:styleId="Quote">
    <w:name w:val="Quote"/>
    <w:basedOn w:val="Normal"/>
    <w:next w:val="Normal"/>
    <w:link w:val="QuoteChar"/>
    <w:uiPriority w:val="29"/>
    <w:qFormat/>
    <w:rsid w:val="00fc693f"/>
    <w:pPr/>
    <w:rPr>
      <w:i/>
      <w:iCs/>
      <w:color w:themeColor="text1" w:val="000000"/>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themeColor="accent1" w:val="4F81BD"/>
    </w:rPr>
  </w:style>
  <w:style w:type="paragraph" w:styleId="IndexHeading">
    <w:name w:val="index heading"/>
    <w:basedOn w:val="Heading"/>
    <w:pPr/>
    <w:rPr/>
  </w:style>
  <w:style w:type="paragraph" w:styleId="TOCHeading">
    <w:name w:val="TOC Heading"/>
    <w:basedOn w:val="Heading1"/>
    <w:next w:val="Normal"/>
    <w:uiPriority w:val="39"/>
    <w:semiHidden/>
    <w:unhideWhenUsed/>
    <w:qFormat/>
    <w:rsid w:val="00fc693f"/>
    <w:pPr>
      <w:outlineLvl w:val="9"/>
    </w:pPr>
    <w:rPr/>
  </w:style>
  <w:style w:type="paragraph" w:styleId="ResumeBody" w:customStyle="1">
    <w:name w:val="Resume Body"/>
    <w:qFormat/>
    <w:pPr>
      <w:widowControl/>
      <w:suppressAutoHyphens w:val="true"/>
      <w:bidi w:val="0"/>
      <w:spacing w:lineRule="auto" w:line="276" w:before="0" w:after="200"/>
      <w:jc w:val="left"/>
    </w:pPr>
    <w:rPr>
      <w:rFonts w:ascii="Cambria" w:hAnsi="Cambria" w:eastAsia="" w:cs="" w:asciiTheme="minorHAnsi" w:cstheme="minorBidi" w:eastAsiaTheme="minorEastAsia" w:hAnsiTheme="minorHAnsi"/>
      <w:color w:val="auto"/>
      <w:kern w:val="0"/>
      <w:sz w:val="22"/>
      <w:szCs w:val="22"/>
      <w:lang w:val="en-US" w:eastAsia="en-US" w:bidi="ar-SA"/>
    </w:rPr>
  </w:style>
  <w:style w:type="paragraph" w:styleId="ResumeSection" w:customStyle="1">
    <w:name w:val="Resume Section"/>
    <w:qFormat/>
    <w:pPr>
      <w:widowControl/>
      <w:suppressAutoHyphens w:val="true"/>
      <w:bidi w:val="0"/>
      <w:spacing w:lineRule="auto" w:line="276" w:before="0" w:after="200"/>
      <w:jc w:val="left"/>
    </w:pPr>
    <w:rPr>
      <w:rFonts w:ascii="Cambria" w:hAnsi="Cambria" w:eastAsia="" w:cs="" w:asciiTheme="minorHAnsi" w:cstheme="minorBidi" w:eastAsiaTheme="minorEastAsia" w:hAnsiTheme="minorHAnsi"/>
      <w:color w:val="auto"/>
      <w:kern w:val="0"/>
      <w:sz w:val="22"/>
      <w:szCs w:val="22"/>
      <w:lang w:val="en-US" w:eastAsia="en-US" w:bidi="ar-SA"/>
    </w:rPr>
  </w:style>
  <w:style w:type="paragraph" w:styleId="ResumeRole" w:customStyle="1">
    <w:name w:val="Resume Role"/>
    <w:qFormat/>
    <w:pPr>
      <w:widowControl/>
      <w:suppressAutoHyphens w:val="true"/>
      <w:bidi w:val="0"/>
      <w:spacing w:lineRule="auto" w:line="276" w:before="0" w:after="200"/>
      <w:jc w:val="left"/>
    </w:pPr>
    <w:rPr>
      <w:rFonts w:ascii="Cambria" w:hAnsi="Cambria" w:eastAsia="" w:cs="" w:asciiTheme="minorHAnsi" w:cstheme="minorBidi" w:eastAsiaTheme="minorEastAsia" w:hAnsiTheme="minorHAnsi"/>
      <w:color w:val="auto"/>
      <w:kern w:val="0"/>
      <w:sz w:val="22"/>
      <w:szCs w:val="22"/>
      <w:lang w:val="en-US" w:eastAsia="en-US" w:bidi="ar-SA"/>
    </w:rPr>
  </w:style>
  <w:style w:type="paragraph" w:styleId="ResumeRoleMeta" w:customStyle="1">
    <w:name w:val="Resume Role Meta"/>
    <w:qFormat/>
    <w:pPr>
      <w:widowControl/>
      <w:suppressAutoHyphens w:val="true"/>
      <w:bidi w:val="0"/>
      <w:spacing w:lineRule="auto" w:line="276" w:before="0" w:after="200"/>
      <w:jc w:val="left"/>
    </w:pPr>
    <w:rPr>
      <w:rFonts w:ascii="Cambria" w:hAnsi="Cambria" w:eastAsia="" w:cs="" w:asciiTheme="minorHAnsi" w:cstheme="minorBidi" w:eastAsiaTheme="minorEastAsia" w:hAnsiTheme="minorHAnsi"/>
      <w:color w:val="auto"/>
      <w:kern w:val="0"/>
      <w:sz w:val="22"/>
      <w:szCs w:val="22"/>
      <w:lang w:val="en-US" w:eastAsia="en-US" w:bidi="ar-SA"/>
    </w:rPr>
  </w:style>
  <w:style w:type="paragraph" w:styleId="ResumeBullet" w:customStyle="1">
    <w:name w:val="Resume Bullet"/>
    <w:basedOn w:val="Normal"/>
    <w:qFormat/>
    <w:pPr>
      <w:numPr>
        <w:ilvl w:val="0"/>
        <w:numId w:val="7"/>
      </w:numPr>
      <w:spacing w:before="0" w:after="54"/>
      <w:ind w:hanging="230" w:left="317"/>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00000" w:themeColor="accent1" w:themeShade="bf"/>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000000" w:themeColor="accent2" w:themeShade="bf"/>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000000" w:themeColor="accent3" w:themeShade="bf"/>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000000" w:themeColor="accent4" w:themeShade="bf"/>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000000" w:themeColor="accent5" w:themeShade="bf"/>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000000" w:themeColor="accent6" w:themeShade="bf"/>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000000"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Pr/>
    </w:tblStylePr>
    <w:tblStylePr w:type="lastCol">
      <w:rPr>
        <w:b/>
        <w:bCs/>
      </w:rPr>
      <w:tbl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000000"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Pr/>
    </w:tblStylePr>
    <w:tblStylePr w:type="lastCol">
      <w:rPr>
        <w:b/>
        <w:bCs/>
      </w:rPr>
      <w:tbl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000000"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Pr/>
    </w:tblStylePr>
    <w:tblStylePr w:type="lastCol">
      <w:rPr>
        <w:b/>
        <w:bCs/>
      </w:rPr>
      <w:tbl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000000"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Pr/>
    </w:tblStylePr>
    <w:tblStylePr w:type="lastCol">
      <w:rPr>
        <w:b/>
        <w:bCs/>
      </w:rPr>
      <w:tbl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000000"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Pr/>
    </w:tblStylePr>
    <w:tblStylePr w:type="lastCol">
      <w:rPr>
        <w:b/>
        <w:bCs/>
      </w:rPr>
      <w:tbl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000000"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Pr/>
    </w:tblStylePr>
    <w:tblStylePr w:type="lastCol">
      <w:rPr>
        <w:b/>
        <w:bCs/>
      </w:rPr>
      <w:tbl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000000"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Pr/>
    </w:tblStylePr>
    <w:tblStylePr w:type="lastCol">
      <w:rPr>
        <w:b/>
        <w:bCs/>
      </w:rPr>
      <w:tbl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CellMar>
        <w:top w:w="0" w:type="dxa"/>
        <w:left w:w="108" w:type="dxa"/>
        <w:bottom w:w="0" w:type="dxa"/>
        <w:right w:w="108" w:type="dxa"/>
      </w:tblCellMar>
    </w:tblPr>
    <w:tblStylePr w:type="firstRow">
      <w:pPr>
        <w:spacing w:before="0" w:after="0" w:line="240" w:lineRule="auto"/>
      </w:pPr>
      <w:rPr>
        <w:b/>
        <w:bCs/>
        <w:color w:val="000000" w:themeColor="background1"/>
      </w:rPr>
      <w:tblPr/>
      <w:tcPr>
        <w:tcBorders>
          <w:top w:val="single" w:color="404040" w:themeColor="text1" w:sz="8" w:space="0"/>
          <w:left w:val="single" w:color="404040" w:themeColor="text1" w:sz="8" w:space="0"/>
          <w:bottom w:val="single" w:color="404040" w:themeColor="text1" w:sz="8" w:space="0"/>
          <w:right w:val="single" w:color="404040" w:themeColor="text1"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sz="6" w:space="0"/>
          <w:left w:val="single" w:color="404040" w:themeColor="text1" w:sz="8" w:space="0"/>
          <w:bottom w:val="single" w:color="404040" w:themeColor="text1" w:sz="8" w:space="0"/>
          <w:right w:val="single" w:color="404040" w:themeColor="text1" w:sz="8" w:space="0"/>
          <w:insideH w:val="nil"/>
          <w:insideV w:val="nil"/>
        </w:tcBorders>
      </w:tcPr>
    </w:tblStylePr>
    <w:tblStylePr w:type="firstCol">
      <w:rPr>
        <w:b/>
        <w:bCs/>
      </w:rPr>
      <w:tblPr/>
    </w:tblStylePr>
    <w:tblStylePr w:type="lastCol">
      <w:rPr>
        <w:b/>
        <w:bCs/>
      </w:rPr>
      <w:tbl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000000" w:themeColor="background1"/>
      </w:rPr>
      <w:tblPr/>
      <w:tcPr>
        <w:tcBorders>
          <w:top w:val="single" w:color="7BA0CD" w:themeColor="accent1" w:sz="8" w:space="0"/>
          <w:left w:val="single" w:color="7BA0CD" w:themeColor="accent1" w:sz="8" w:space="0"/>
          <w:bottom w:val="single" w:color="7BA0CD" w:themeColor="accent1" w:sz="8" w:space="0"/>
          <w:right w:val="single" w:color="7BA0CD" w:themeColor="accent1"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sz="6" w:space="0"/>
          <w:left w:val="single" w:color="7BA0CD" w:themeColor="accent1" w:sz="8" w:space="0"/>
          <w:bottom w:val="single" w:color="7BA0CD" w:themeColor="accent1" w:sz="8" w:space="0"/>
          <w:right w:val="single" w:color="7BA0CD" w:themeColor="accent1" w:sz="8" w:space="0"/>
          <w:insideH w:val="nil"/>
          <w:insideV w:val="nil"/>
        </w:tcBorders>
      </w:tcPr>
    </w:tblStylePr>
    <w:tblStylePr w:type="firstCol">
      <w:rPr>
        <w:b/>
        <w:bCs/>
      </w:rPr>
      <w:tblPr/>
    </w:tblStylePr>
    <w:tblStylePr w:type="lastCol">
      <w:rPr>
        <w:b/>
        <w:bCs/>
      </w:rPr>
      <w:tbl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000000" w:themeColor="background1"/>
      </w:rPr>
      <w:tblPr/>
      <w:tcPr>
        <w:tcBorders>
          <w:top w:val="single" w:color="CF7B79" w:themeColor="accent2" w:sz="8" w:space="0"/>
          <w:left w:val="single" w:color="CF7B79" w:themeColor="accent2" w:sz="8" w:space="0"/>
          <w:bottom w:val="single" w:color="CF7B79" w:themeColor="accent2" w:sz="8" w:space="0"/>
          <w:right w:val="single" w:color="CF7B79" w:themeColor="accent2"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sz="6" w:space="0"/>
          <w:left w:val="single" w:color="CF7B79" w:themeColor="accent2" w:sz="8" w:space="0"/>
          <w:bottom w:val="single" w:color="CF7B79" w:themeColor="accent2" w:sz="8" w:space="0"/>
          <w:right w:val="single" w:color="CF7B79" w:themeColor="accent2" w:sz="8" w:space="0"/>
          <w:insideH w:val="nil"/>
          <w:insideV w:val="nil"/>
        </w:tcBorders>
      </w:tcPr>
    </w:tblStylePr>
    <w:tblStylePr w:type="firstCol">
      <w:rPr>
        <w:b/>
        <w:bCs/>
      </w:rPr>
      <w:tblPr/>
    </w:tblStylePr>
    <w:tblStylePr w:type="lastCol">
      <w:rPr>
        <w:b/>
        <w:bCs/>
      </w:rPr>
      <w:tbl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000000" w:themeColor="background1"/>
      </w:rPr>
      <w:tblPr/>
      <w:tcPr>
        <w:tcBorders>
          <w:top w:val="single" w:color="B3CC82" w:themeColor="accent3" w:sz="8" w:space="0"/>
          <w:left w:val="single" w:color="B3CC82" w:themeColor="accent3" w:sz="8" w:space="0"/>
          <w:bottom w:val="single" w:color="B3CC82" w:themeColor="accent3" w:sz="8" w:space="0"/>
          <w:right w:val="single" w:color="B3CC82" w:themeColor="accent3"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sz="6" w:space="0"/>
          <w:left w:val="single" w:color="B3CC82" w:themeColor="accent3" w:sz="8" w:space="0"/>
          <w:bottom w:val="single" w:color="B3CC82" w:themeColor="accent3" w:sz="8" w:space="0"/>
          <w:right w:val="single" w:color="B3CC82" w:themeColor="accent3" w:sz="8" w:space="0"/>
          <w:insideH w:val="nil"/>
          <w:insideV w:val="nil"/>
        </w:tcBorders>
      </w:tcPr>
    </w:tblStylePr>
    <w:tblStylePr w:type="firstCol">
      <w:rPr>
        <w:b/>
        <w:bCs/>
      </w:rPr>
      <w:tblPr/>
    </w:tblStylePr>
    <w:tblStylePr w:type="lastCol">
      <w:rPr>
        <w:b/>
        <w:bCs/>
      </w:rPr>
      <w:tbl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000000" w:themeColor="background1"/>
      </w:rPr>
      <w:tblPr/>
      <w:tcPr>
        <w:tcBorders>
          <w:top w:val="single" w:color="9F8AB9" w:themeColor="accent4" w:sz="8" w:space="0"/>
          <w:left w:val="single" w:color="9F8AB9" w:themeColor="accent4" w:sz="8" w:space="0"/>
          <w:bottom w:val="single" w:color="9F8AB9" w:themeColor="accent4" w:sz="8" w:space="0"/>
          <w:right w:val="single" w:color="9F8AB9" w:themeColor="accent4"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sz="6" w:space="0"/>
          <w:left w:val="single" w:color="9F8AB9" w:themeColor="accent4" w:sz="8" w:space="0"/>
          <w:bottom w:val="single" w:color="9F8AB9" w:themeColor="accent4" w:sz="8" w:space="0"/>
          <w:right w:val="single" w:color="9F8AB9" w:themeColor="accent4" w:sz="8" w:space="0"/>
          <w:insideH w:val="nil"/>
          <w:insideV w:val="nil"/>
        </w:tcBorders>
      </w:tcPr>
    </w:tblStylePr>
    <w:tblStylePr w:type="firstCol">
      <w:rPr>
        <w:b/>
        <w:bCs/>
      </w:rPr>
      <w:tblPr/>
    </w:tblStylePr>
    <w:tblStylePr w:type="lastCol">
      <w:rPr>
        <w:b/>
        <w:bCs/>
      </w:rPr>
      <w:tbl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000000" w:themeColor="background1"/>
      </w:rPr>
      <w:tblPr/>
      <w:tcPr>
        <w:tcBorders>
          <w:top w:val="single" w:color="78C0D4" w:themeColor="accent5" w:sz="8" w:space="0"/>
          <w:left w:val="single" w:color="78C0D4" w:themeColor="accent5" w:sz="8" w:space="0"/>
          <w:bottom w:val="single" w:color="78C0D4" w:themeColor="accent5" w:sz="8" w:space="0"/>
          <w:right w:val="single" w:color="78C0D4" w:themeColor="accent5"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sz="6" w:space="0"/>
          <w:left w:val="single" w:color="78C0D4" w:themeColor="accent5" w:sz="8" w:space="0"/>
          <w:bottom w:val="single" w:color="78C0D4" w:themeColor="accent5" w:sz="8" w:space="0"/>
          <w:right w:val="single" w:color="78C0D4" w:themeColor="accent5" w:sz="8" w:space="0"/>
          <w:insideH w:val="nil"/>
          <w:insideV w:val="nil"/>
        </w:tcBorders>
      </w:tcPr>
    </w:tblStylePr>
    <w:tblStylePr w:type="firstCol">
      <w:rPr>
        <w:b/>
        <w:bCs/>
      </w:rPr>
      <w:tblPr/>
    </w:tblStylePr>
    <w:tblStylePr w:type="lastCol">
      <w:rPr>
        <w:b/>
        <w:bCs/>
      </w:rPr>
      <w:tbl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000000" w:themeColor="background1"/>
      </w:rPr>
      <w:tblPr/>
      <w:tcPr>
        <w:tcBorders>
          <w:top w:val="single" w:color="F9B074" w:themeColor="accent6" w:sz="8" w:space="0"/>
          <w:left w:val="single" w:color="F9B074" w:themeColor="accent6" w:sz="8" w:space="0"/>
          <w:bottom w:val="single" w:color="F9B074" w:themeColor="accent6" w:sz="8" w:space="0"/>
          <w:right w:val="single" w:color="F9B074" w:themeColor="accent6"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sz="6" w:space="0"/>
          <w:left w:val="single" w:color="F9B074" w:themeColor="accent6" w:sz="8" w:space="0"/>
          <w:bottom w:val="single" w:color="F9B074" w:themeColor="accent6" w:sz="8" w:space="0"/>
          <w:right w:val="single" w:color="F9B074" w:themeColor="accent6" w:sz="8" w:space="0"/>
          <w:insideH w:val="nil"/>
          <w:insideV w:val="nil"/>
        </w:tcBorders>
      </w:tcPr>
    </w:tblStylePr>
    <w:tblStylePr w:type="firstCol">
      <w:rPr>
        <w:b/>
        <w:bCs/>
      </w:rPr>
      <w:tblPr/>
    </w:tblStylePr>
    <w:tblStylePr w:type="lastCol">
      <w:rPr>
        <w:b/>
        <w:bCs/>
      </w:rPr>
      <w:tbl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000000"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000000"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000000"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000000"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000000"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000000"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000000"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000000"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000000"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000000"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000000"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000000"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000000"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000000"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000000"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000000"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000000"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000000"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000000"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000000"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000000"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000000"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000000"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000000"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000000"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000000"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000000"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000000"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000000" w:themeColor="text2"/>
      </w:rPr>
      <w:tblPr/>
      <w:tcPr>
        <w:tcBorders>
          <w:top w:val="single" w:color="000000" w:themeColor="text1" w:sz="8" w:space="0"/>
          <w:bottom w:val="single" w:color="000000" w:themeColor="text1" w:sz="8" w:space="0"/>
        </w:tcBorders>
      </w:tcPr>
    </w:tblStylePr>
    <w:tblStylePr w:type="firstCol">
      <w:rPr>
        <w:b/>
        <w:bCs/>
      </w:rPr>
      <w:tbl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000000" w:themeColor="text2"/>
      </w:rPr>
      <w:tblPr/>
      <w:tcPr>
        <w:tcBorders>
          <w:top w:val="single" w:color="4F81BD" w:themeColor="accent1" w:sz="8" w:space="0"/>
          <w:bottom w:val="single" w:color="4F81BD" w:themeColor="accent1" w:sz="8" w:space="0"/>
        </w:tcBorders>
      </w:tcPr>
    </w:tblStylePr>
    <w:tblStylePr w:type="firstCol">
      <w:rPr>
        <w:b/>
        <w:bCs/>
      </w:rPr>
      <w:tbl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000000" w:themeColor="text2"/>
      </w:rPr>
      <w:tblPr/>
      <w:tcPr>
        <w:tcBorders>
          <w:top w:val="single" w:color="C0504D" w:themeColor="accent2" w:sz="8" w:space="0"/>
          <w:bottom w:val="single" w:color="C0504D" w:themeColor="accent2" w:sz="8" w:space="0"/>
        </w:tcBorders>
      </w:tcPr>
    </w:tblStylePr>
    <w:tblStylePr w:type="firstCol">
      <w:rPr>
        <w:b/>
        <w:bCs/>
      </w:rPr>
      <w:tbl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000000" w:themeColor="text2"/>
      </w:rPr>
      <w:tblPr/>
      <w:tcPr>
        <w:tcBorders>
          <w:top w:val="single" w:color="9BBB59" w:themeColor="accent3" w:sz="8" w:space="0"/>
          <w:bottom w:val="single" w:color="9BBB59" w:themeColor="accent3" w:sz="8" w:space="0"/>
        </w:tcBorders>
      </w:tcPr>
    </w:tblStylePr>
    <w:tblStylePr w:type="firstCol">
      <w:rPr>
        <w:b/>
        <w:bCs/>
      </w:rPr>
      <w:tbl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000000" w:themeColor="text2"/>
      </w:rPr>
      <w:tblPr/>
      <w:tcPr>
        <w:tcBorders>
          <w:top w:val="single" w:color="8064A2" w:themeColor="accent4" w:sz="8" w:space="0"/>
          <w:bottom w:val="single" w:color="8064A2" w:themeColor="accent4" w:sz="8" w:space="0"/>
        </w:tcBorders>
      </w:tcPr>
    </w:tblStylePr>
    <w:tblStylePr w:type="firstCol">
      <w:rPr>
        <w:b/>
        <w:bCs/>
      </w:rPr>
      <w:tbl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000000" w:themeColor="text2"/>
      </w:rPr>
      <w:tblPr/>
      <w:tcPr>
        <w:tcBorders>
          <w:top w:val="single" w:color="4BACC6" w:themeColor="accent5" w:sz="8" w:space="0"/>
          <w:bottom w:val="single" w:color="4BACC6" w:themeColor="accent5" w:sz="8" w:space="0"/>
        </w:tcBorders>
      </w:tcPr>
    </w:tblStylePr>
    <w:tblStylePr w:type="firstCol">
      <w:rPr>
        <w:b/>
        <w:bCs/>
      </w:rPr>
      <w:tbl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000000" w:themeColor="text2"/>
      </w:rPr>
      <w:tblPr/>
      <w:tcPr>
        <w:tcBorders>
          <w:top w:val="single" w:color="F79646" w:themeColor="accent6" w:sz="8" w:space="0"/>
          <w:bottom w:val="single" w:color="F79646" w:themeColor="accent6" w:sz="8" w:space="0"/>
        </w:tcBorders>
      </w:tcPr>
    </w:tblStylePr>
    <w:tblStylePr w:type="firstCol">
      <w:rPr>
        <w:b/>
        <w:bCs/>
      </w:rPr>
      <w:tbl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CellMar>
        <w:top w:w="0" w:type="dxa"/>
        <w:left w:w="108" w:type="dxa"/>
        <w:bottom w:w="0" w:type="dxa"/>
        <w:right w:w="108" w:type="dxa"/>
      </w:tblCellMar>
    </w:tblPr>
    <w:tcPr>
      <w:shd w:val="clear" w:color="auto" w:fill="C0C0C0" w:themeFill="text1" w:themeFillTint="3f"/>
    </w:tcPr>
    <w:tblStylePr w:type="firstRow">
      <w:rPr>
        <w:b/>
        <w:bCs/>
      </w:rPr>
      <w:tblPr/>
    </w:tblStylePr>
    <w:tblStylePr w:type="lastRow">
      <w:rPr>
        <w:b/>
        <w:bCs/>
      </w:rPr>
      <w:tblPr/>
      <w:tcPr>
        <w:tcBorders>
          <w:top w:val="single" w:color="404040" w:themeColor="text1" w:sz="18" w:space="0"/>
        </w:tcBorders>
      </w:tcPr>
    </w:tblStylePr>
    <w:tblStylePr w:type="firstCol">
      <w:rPr>
        <w:b/>
        <w:bCs/>
      </w:rPr>
      <w:tblPr/>
    </w:tblStylePr>
    <w:tblStylePr w:type="lastCol">
      <w:rPr>
        <w:b/>
        <w:bCs/>
      </w:rPr>
      <w:tbl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Pr/>
    </w:tblStylePr>
    <w:tblStylePr w:type="lastRow">
      <w:rPr>
        <w:b/>
        <w:bCs/>
      </w:rPr>
      <w:tblPr/>
      <w:tcPr>
        <w:tcBorders>
          <w:top w:val="single" w:color="7BA0CD" w:themeColor="accent1" w:sz="18" w:space="0"/>
        </w:tcBorders>
      </w:tcPr>
    </w:tblStylePr>
    <w:tblStylePr w:type="firstCol">
      <w:rPr>
        <w:b/>
        <w:bCs/>
      </w:rPr>
      <w:tblPr/>
    </w:tblStylePr>
    <w:tblStylePr w:type="lastCol">
      <w:rPr>
        <w:b/>
        <w:bCs/>
      </w:rPr>
      <w:tbl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2" w:themeFill="accent2" w:themeFillTint="3f"/>
    </w:tcPr>
    <w:tblStylePr w:type="firstRow">
      <w:rPr>
        <w:b/>
        <w:bCs/>
      </w:rPr>
      <w:tblPr/>
    </w:tblStylePr>
    <w:tblStylePr w:type="lastRow">
      <w:rPr>
        <w:b/>
        <w:bCs/>
      </w:rPr>
      <w:tblPr/>
      <w:tcPr>
        <w:tcBorders>
          <w:top w:val="single" w:color="CF7B79" w:themeColor="accent2" w:sz="18" w:space="0"/>
        </w:tcBorders>
      </w:tcPr>
    </w:tblStylePr>
    <w:tblStylePr w:type="firstCol">
      <w:rPr>
        <w:b/>
        <w:bCs/>
      </w:rPr>
      <w:tblPr/>
    </w:tblStylePr>
    <w:tblStylePr w:type="lastCol">
      <w:rPr>
        <w:b/>
        <w:bCs/>
      </w:rPr>
      <w:tbl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Pr/>
    </w:tblStylePr>
    <w:tblStylePr w:type="lastRow">
      <w:rPr>
        <w:b/>
        <w:bCs/>
      </w:rPr>
      <w:tblPr/>
      <w:tcPr>
        <w:tcBorders>
          <w:top w:val="single" w:color="B3CC82" w:themeColor="accent3" w:sz="18" w:space="0"/>
        </w:tcBorders>
      </w:tcPr>
    </w:tblStylePr>
    <w:tblStylePr w:type="firstCol">
      <w:rPr>
        <w:b/>
        <w:bCs/>
      </w:rPr>
      <w:tblPr/>
    </w:tblStylePr>
    <w:tblStylePr w:type="lastCol">
      <w:rPr>
        <w:b/>
        <w:bCs/>
      </w:rPr>
      <w:tbl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Pr/>
    </w:tblStylePr>
    <w:tblStylePr w:type="lastRow">
      <w:rPr>
        <w:b/>
        <w:bCs/>
      </w:rPr>
      <w:tblPr/>
      <w:tcPr>
        <w:tcBorders>
          <w:top w:val="single" w:color="9F8AB9" w:themeColor="accent4" w:sz="18" w:space="0"/>
        </w:tcBorders>
      </w:tcPr>
    </w:tblStylePr>
    <w:tblStylePr w:type="firstCol">
      <w:rPr>
        <w:b/>
        <w:bCs/>
      </w:rPr>
      <w:tblPr/>
    </w:tblStylePr>
    <w:tblStylePr w:type="lastCol">
      <w:rPr>
        <w:b/>
        <w:bCs/>
      </w:rPr>
      <w:tbl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1" w:themeFill="accent5" w:themeFillTint="3f"/>
    </w:tcPr>
    <w:tblStylePr w:type="firstRow">
      <w:rPr>
        <w:b/>
        <w:bCs/>
      </w:rPr>
      <w:tblPr/>
    </w:tblStylePr>
    <w:tblStylePr w:type="lastRow">
      <w:rPr>
        <w:b/>
        <w:bCs/>
      </w:rPr>
      <w:tblPr/>
      <w:tcPr>
        <w:tcBorders>
          <w:top w:val="single" w:color="78C0D4" w:themeColor="accent5" w:sz="18" w:space="0"/>
        </w:tcBorders>
      </w:tcPr>
    </w:tblStylePr>
    <w:tblStylePr w:type="firstCol">
      <w:rPr>
        <w:b/>
        <w:bCs/>
      </w:rPr>
      <w:tblPr/>
    </w:tblStylePr>
    <w:tblStylePr w:type="lastCol">
      <w:rPr>
        <w:b/>
        <w:bCs/>
      </w:rPr>
      <w:tbl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4D0" w:themeFill="accent6" w:themeFillTint="3f"/>
    </w:tcPr>
    <w:tblStylePr w:type="firstRow">
      <w:rPr>
        <w:b/>
        <w:bCs/>
      </w:rPr>
      <w:tblPr/>
    </w:tblStylePr>
    <w:tblStylePr w:type="lastRow">
      <w:rPr>
        <w:b/>
        <w:bCs/>
      </w:rPr>
      <w:tblPr/>
      <w:tcPr>
        <w:tcBorders>
          <w:top w:val="single" w:color="F9B074" w:themeColor="accent6" w:sz="18" w:space="0"/>
        </w:tcBorders>
      </w:tcPr>
    </w:tblStylePr>
    <w:tblStylePr w:type="firstCol">
      <w:rPr>
        <w:b/>
        <w:bCs/>
      </w:rPr>
      <w:tblPr/>
    </w:tblStylePr>
    <w:tblStylePr w:type="lastCol">
      <w:rPr>
        <w:b/>
        <w:bCs/>
      </w:rPr>
      <w:tbl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C0C0C0" w:themeFill="text1" w:themeFillTint="3f"/>
    </w:tcPr>
    <w:tblStylePr w:type="firstRow">
      <w:rPr>
        <w:b/>
        <w:bCs/>
        <w:i w:val="0"/>
        <w:color w:val="000000"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color w:val="000000"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color w:val="000000"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color w:val="000000"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color w:val="000000"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color w:val="000000"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color w:val="000000"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color w:val="000000"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2" w:themeFill="accent2" w:themeFillTint="3f"/>
    </w:tcPr>
    <w:tblStylePr w:type="firstRow">
      <w:rPr>
        <w:b/>
        <w:bCs/>
        <w:i w:val="0"/>
        <w:color w:val="000000"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color w:val="000000"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color w:val="000000"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color w:val="000000"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color w:val="000000"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color w:val="000000"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color w:val="000000"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color w:val="000000"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color w:val="000000"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color w:val="000000"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color w:val="000000"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color w:val="000000"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1" w:themeFill="accent5" w:themeFillTint="3f"/>
    </w:tcPr>
    <w:tblStylePr w:type="firstRow">
      <w:rPr>
        <w:b/>
        <w:bCs/>
        <w:i w:val="0"/>
        <w:color w:val="000000"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color w:val="000000"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color w:val="000000"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color w:val="000000"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4D0" w:themeFill="accent6" w:themeFillTint="3f"/>
    </w:tcPr>
    <w:tblStylePr w:type="firstRow">
      <w:rPr>
        <w:b/>
        <w:bCs/>
        <w:i w:val="0"/>
        <w:color w:val="000000"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color w:val="000000"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color w:val="000000"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color w:val="000000"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000000" w:themeColor="background1"/>
    </w:rPr>
    <w:tblPr>
      <w:tblStyleRowBandSize w:val="1"/>
      <w:tblStyleColBandSize w:val="1"/>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000000" w:themeColor="background1"/>
    </w:rPr>
    <w:tblPr>
      <w:tblStyleRowBandSize w:val="1"/>
      <w:tblStyleColBandSize w:val="1"/>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000000" w:themeColor="background1"/>
    </w:rPr>
    <w:tblPr>
      <w:tblStyleRowBandSize w:val="1"/>
      <w:tblStyleColBandSize w:val="1"/>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000000" w:themeColor="background1"/>
    </w:rPr>
    <w:tblPr>
      <w:tblStyleRowBandSize w:val="1"/>
      <w:tblStyleColBandSize w:val="1"/>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000000" w:themeColor="background1"/>
    </w:rPr>
    <w:tblPr>
      <w:tblStyleRowBandSize w:val="1"/>
      <w:tblStyleColBandSize w:val="1"/>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000000" w:themeColor="background1"/>
    </w:rPr>
    <w:tblPr>
      <w:tblStyleRowBandSize w:val="1"/>
      <w:tblStyleColBandSize w:val="1"/>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000000" w:themeColor="background1"/>
    </w:rPr>
    <w:tblPr>
      <w:tblStyleRowBandSize w:val="1"/>
      <w:tblStyleColBandSize w:val="1"/>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000000" w:themeColor="background1"/>
      </w:rPr>
      <w:tblPr/>
      <w:tcPr>
        <w:tcBorders>
          <w:top w:val="single" w:color="FFFFFF" w:themeColor="background1" w:sz="6" w:space="0"/>
        </w:tcBorders>
        <w:shd w:val="clear" w:color="auto" w:fill="000000" w:themeFill="text1" w:themeFillShade="99"/>
      </w:tcPr>
    </w:tblStylePr>
    <w:tblStylePr w:type="firstCol">
      <w:rPr>
        <w:color w:val="000000" w:themeColor="background1"/>
      </w:rPr>
      <w:tblPr/>
      <w:tcPr>
        <w:tcBorders>
          <w:top w:val="nil"/>
          <w:left w:val="nil"/>
          <w:bottom w:val="nil"/>
          <w:right w:val="nil"/>
          <w:insideH w:val="single" w:color="000000" w:themeColor="text1" w:sz="4" w:space="0"/>
          <w:insideV w:val="nil"/>
        </w:tcBorders>
        <w:shd w:val="clear" w:color="auto" w:fill="000000" w:themeFill="text1" w:themeFillShade="99"/>
      </w:tcPr>
    </w:tblStylePr>
    <w:tblStylePr w:type="lastCol">
      <w:rPr>
        <w:color w:val="000000"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Pr/>
    </w:tblStylePr>
    <w:tblStylePr w:type="nwCell">
      <w:rPr>
        <w:color w:val="000000" w:themeColor="text1"/>
      </w:rPr>
      <w:tbl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000000" w:themeColor="background1"/>
      </w:rPr>
      <w:tblPr/>
      <w:tcPr>
        <w:tcBorders>
          <w:top w:val="single" w:color="FFFFFF" w:themeColor="background1" w:sz="6" w:space="0"/>
        </w:tcBorders>
        <w:shd w:val="clear" w:color="auto" w:fill="2C4C74" w:themeFill="accent1" w:themeFillShade="99"/>
      </w:tcPr>
    </w:tblStylePr>
    <w:tblStylePr w:type="firstCol">
      <w:rPr>
        <w:color w:val="000000" w:themeColor="background1"/>
      </w:rPr>
      <w:tblPr/>
      <w:tcPr>
        <w:tcBorders>
          <w:top w:val="nil"/>
          <w:left w:val="nil"/>
          <w:bottom w:val="nil"/>
          <w:right w:val="nil"/>
          <w:insideH w:val="single" w:color="2C4C74" w:themeColor="accent1" w:sz="4" w:space="0"/>
          <w:insideV w:val="nil"/>
        </w:tcBorders>
        <w:shd w:val="clear" w:color="auto" w:fill="2C4C74" w:themeFill="accent1" w:themeFillShade="99"/>
      </w:tcPr>
    </w:tblStylePr>
    <w:tblStylePr w:type="lastCol">
      <w:rPr>
        <w:color w:val="000000"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Pr/>
    </w:tblStylePr>
    <w:tblStylePr w:type="nwCell">
      <w:rPr>
        <w:color w:val="000000" w:themeColor="text1"/>
      </w:rPr>
      <w:tbl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000000" w:themeColor="background1"/>
      </w:rPr>
      <w:tblPr/>
      <w:tcPr>
        <w:tcBorders>
          <w:top w:val="single" w:color="FFFFFF" w:themeColor="background1" w:sz="6" w:space="0"/>
        </w:tcBorders>
        <w:shd w:val="clear" w:color="auto" w:fill="772C2A" w:themeFill="accent2" w:themeFillShade="99"/>
      </w:tcPr>
    </w:tblStylePr>
    <w:tblStylePr w:type="firstCol">
      <w:rPr>
        <w:color w:val="000000" w:themeColor="background1"/>
      </w:rPr>
      <w:tblPr/>
      <w:tcPr>
        <w:tcBorders>
          <w:top w:val="nil"/>
          <w:left w:val="nil"/>
          <w:bottom w:val="nil"/>
          <w:right w:val="nil"/>
          <w:insideH w:val="single" w:color="772C2A" w:themeColor="accent2" w:sz="4" w:space="0"/>
          <w:insideV w:val="nil"/>
        </w:tcBorders>
        <w:shd w:val="clear" w:color="auto" w:fill="772C2A" w:themeFill="accent2" w:themeFillShade="99"/>
      </w:tcPr>
    </w:tblStylePr>
    <w:tblStylePr w:type="lastCol">
      <w:rPr>
        <w:color w:val="000000"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Pr/>
    </w:tblStylePr>
    <w:tblStylePr w:type="nwCell">
      <w:rPr>
        <w:color w:val="000000" w:themeColor="text1"/>
      </w:rPr>
      <w:tbl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000000" w:themeColor="background1"/>
      </w:rPr>
      <w:tblPr/>
      <w:tcPr>
        <w:tcBorders>
          <w:top w:val="single" w:color="FFFFFF" w:themeColor="background1" w:sz="6" w:space="0"/>
        </w:tcBorders>
        <w:shd w:val="clear" w:color="auto" w:fill="5E7530" w:themeFill="accent3" w:themeFillShade="99"/>
      </w:tcPr>
    </w:tblStylePr>
    <w:tblStylePr w:type="firstCol">
      <w:rPr>
        <w:color w:val="000000" w:themeColor="background1"/>
      </w:rPr>
      <w:tblPr/>
      <w:tcPr>
        <w:tcBorders>
          <w:top w:val="nil"/>
          <w:left w:val="nil"/>
          <w:bottom w:val="nil"/>
          <w:right w:val="nil"/>
          <w:insideH w:val="single" w:color="5E7530" w:themeColor="accent3" w:sz="4" w:space="0"/>
          <w:insideV w:val="nil"/>
        </w:tcBorders>
        <w:shd w:val="clear" w:color="auto" w:fill="5E7530" w:themeFill="accent3" w:themeFillShade="99"/>
      </w:tcPr>
    </w:tblStylePr>
    <w:tblStylePr w:type="lastCol">
      <w:rPr>
        <w:color w:val="000000"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000000" w:themeColor="background1"/>
      </w:rPr>
      <w:tblPr/>
      <w:tcPr>
        <w:tcBorders>
          <w:top w:val="single" w:color="FFFFFF" w:themeColor="background1" w:sz="6" w:space="0"/>
        </w:tcBorders>
        <w:shd w:val="clear" w:color="auto" w:fill="4C3B62" w:themeFill="accent4" w:themeFillShade="99"/>
      </w:tcPr>
    </w:tblStylePr>
    <w:tblStylePr w:type="firstCol">
      <w:rPr>
        <w:color w:val="000000" w:themeColor="background1"/>
      </w:rPr>
      <w:tblPr/>
      <w:tcPr>
        <w:tcBorders>
          <w:top w:val="nil"/>
          <w:left w:val="nil"/>
          <w:bottom w:val="nil"/>
          <w:right w:val="nil"/>
          <w:insideH w:val="single" w:color="4C3B62" w:themeColor="accent4" w:sz="4" w:space="0"/>
          <w:insideV w:val="nil"/>
        </w:tcBorders>
        <w:shd w:val="clear" w:color="auto" w:fill="4C3B62" w:themeFill="accent4" w:themeFillShade="99"/>
      </w:tcPr>
    </w:tblStylePr>
    <w:tblStylePr w:type="lastCol">
      <w:rPr>
        <w:color w:val="000000"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Pr/>
    </w:tblStylePr>
    <w:tblStylePr w:type="nwCell">
      <w:rPr>
        <w:color w:val="000000" w:themeColor="text1"/>
      </w:rPr>
      <w:tbl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000000" w:themeColor="background1"/>
      </w:rPr>
      <w:tblPr/>
      <w:tcPr>
        <w:tcBorders>
          <w:top w:val="single" w:color="FFFFFF" w:themeColor="background1" w:sz="6" w:space="0"/>
        </w:tcBorders>
        <w:shd w:val="clear" w:color="auto" w:fill="276A7C" w:themeFill="accent5" w:themeFillShade="99"/>
      </w:tcPr>
    </w:tblStylePr>
    <w:tblStylePr w:type="firstCol">
      <w:rPr>
        <w:color w:val="000000" w:themeColor="background1"/>
      </w:rPr>
      <w:tblPr/>
      <w:tcPr>
        <w:tcBorders>
          <w:top w:val="nil"/>
          <w:left w:val="nil"/>
          <w:bottom w:val="nil"/>
          <w:right w:val="nil"/>
          <w:insideH w:val="single" w:color="276A7C" w:themeColor="accent5" w:sz="4" w:space="0"/>
          <w:insideV w:val="nil"/>
        </w:tcBorders>
        <w:shd w:val="clear" w:color="auto" w:fill="276A7C" w:themeFill="accent5" w:themeFillShade="99"/>
      </w:tcPr>
    </w:tblStylePr>
    <w:tblStylePr w:type="lastCol">
      <w:rPr>
        <w:color w:val="000000"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Pr/>
    </w:tblStylePr>
    <w:tblStylePr w:type="nwCell">
      <w:rPr>
        <w:color w:val="000000" w:themeColor="text1"/>
      </w:rPr>
      <w:tbl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000000" w:themeColor="background1"/>
      </w:rPr>
      <w:tblPr/>
      <w:tcPr>
        <w:tcBorders>
          <w:top w:val="single" w:color="FFFFFF" w:themeColor="background1" w:sz="6" w:space="0"/>
        </w:tcBorders>
        <w:shd w:val="clear" w:color="auto" w:fill="B65608" w:themeFill="accent6" w:themeFillShade="99"/>
      </w:tcPr>
    </w:tblStylePr>
    <w:tblStylePr w:type="firstCol">
      <w:rPr>
        <w:color w:val="000000" w:themeColor="background1"/>
      </w:rPr>
      <w:tblPr/>
      <w:tcPr>
        <w:tcBorders>
          <w:top w:val="nil"/>
          <w:left w:val="nil"/>
          <w:bottom w:val="nil"/>
          <w:right w:val="nil"/>
          <w:insideH w:val="single" w:color="B65608" w:themeColor="accent6" w:sz="4" w:space="0"/>
          <w:insideV w:val="nil"/>
        </w:tcBorders>
        <w:shd w:val="clear" w:color="auto" w:fill="B65608" w:themeFill="accent6" w:themeFillShade="99"/>
      </w:tcPr>
    </w:tblStylePr>
    <w:tblStylePr w:type="lastCol">
      <w:rPr>
        <w:color w:val="000000"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Pr/>
    </w:tblStylePr>
    <w:tblStylePr w:type="nwCell">
      <w:rPr>
        <w:color w:val="000000" w:themeColor="text1"/>
      </w:rPr>
      <w:tbl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E6E6E6" w:themeFill="text1" w:themeFillTint="19"/>
    </w:tcPr>
    <w:tblStylePr w:type="firstRow">
      <w:rPr>
        <w:b/>
        <w:bCs/>
        <w:color w:val="000000" w:themeColor="background1"/>
      </w:rPr>
      <w:tblPr/>
      <w:tcPr>
        <w:tcBorders>
          <w:bottom w:val="single" w:color="FFFFFF" w:themeColor="background1" w:sz="12" w:space="0"/>
        </w:tcBorders>
        <w:shd w:val="clear" w:color="auto" w:fill="9E3A38" w:themeFill="accent2" w:themeFillShade="cc"/>
      </w:tcPr>
    </w:tblStylePr>
    <w:tblStylePr w:type="lastRow">
      <w:rPr>
        <w:b/>
        <w:bCs/>
        <w:color w:val="000000"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EDF2F8" w:themeFill="accent1" w:themeFillTint="19"/>
    </w:tcPr>
    <w:tblStylePr w:type="firstRow">
      <w:rPr>
        <w:b/>
        <w:bCs/>
        <w:color w:val="000000" w:themeColor="background1"/>
      </w:rPr>
      <w:tblPr/>
      <w:tcPr>
        <w:tcBorders>
          <w:bottom w:val="single" w:color="FFFFFF" w:themeColor="background1" w:sz="12" w:space="0"/>
        </w:tcBorders>
        <w:shd w:val="clear" w:color="auto" w:fill="9E3A38" w:themeFill="accent2" w:themeFillShade="cc"/>
      </w:tcPr>
    </w:tblStylePr>
    <w:tblStylePr w:type="lastRow">
      <w:rPr>
        <w:b/>
        <w:bCs/>
        <w:color w:val="000000"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8EDED" w:themeFill="accent2" w:themeFillTint="19"/>
    </w:tcPr>
    <w:tblStylePr w:type="firstRow">
      <w:rPr>
        <w:b/>
        <w:bCs/>
        <w:color w:val="000000" w:themeColor="background1"/>
      </w:rPr>
      <w:tblPr/>
      <w:tcPr>
        <w:tcBorders>
          <w:bottom w:val="single" w:color="FFFFFF" w:themeColor="background1" w:sz="12" w:space="0"/>
        </w:tcBorders>
        <w:shd w:val="clear" w:color="auto" w:fill="9E3A38" w:themeFill="accent2" w:themeFillShade="cc"/>
      </w:tcPr>
    </w:tblStylePr>
    <w:tblStylePr w:type="lastRow">
      <w:rPr>
        <w:b/>
        <w:bCs/>
        <w:color w:val="000000"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5F8EE" w:themeFill="accent3" w:themeFillTint="19"/>
    </w:tcPr>
    <w:tblStylePr w:type="firstRow">
      <w:rPr>
        <w:b/>
        <w:bCs/>
        <w:color w:val="000000" w:themeColor="background1"/>
      </w:rPr>
      <w:tblPr/>
      <w:tcPr>
        <w:tcBorders>
          <w:bottom w:val="single" w:color="FFFFFF" w:themeColor="background1" w:sz="12" w:space="0"/>
        </w:tcBorders>
        <w:shd w:val="clear" w:color="auto" w:fill="664E82" w:themeFill="accent4" w:themeFillShade="cc"/>
      </w:tcPr>
    </w:tblStylePr>
    <w:tblStylePr w:type="lastRow">
      <w:rPr>
        <w:b/>
        <w:bCs/>
        <w:color w:val="000000" w:themeColor="accent4"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2EFF6" w:themeFill="accent4" w:themeFillTint="19"/>
    </w:tcPr>
    <w:tblStylePr w:type="firstRow">
      <w:rPr>
        <w:b/>
        <w:bCs/>
        <w:color w:val="000000" w:themeColor="background1"/>
      </w:rPr>
      <w:tblPr/>
      <w:tcPr>
        <w:tcBorders>
          <w:bottom w:val="single" w:color="FFFFFF" w:themeColor="background1" w:sz="12" w:space="0"/>
        </w:tcBorders>
        <w:shd w:val="clear" w:color="auto" w:fill="7E9C40" w:themeFill="accent3" w:themeFillShade="cc"/>
      </w:tcPr>
    </w:tblStylePr>
    <w:tblStylePr w:type="lastRow">
      <w:rPr>
        <w:b/>
        <w:bCs/>
        <w:color w:val="000000" w:themeColor="accent3"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EDF6F9" w:themeFill="accent5" w:themeFillTint="19"/>
    </w:tcPr>
    <w:tblStylePr w:type="firstRow">
      <w:rPr>
        <w:b/>
        <w:bCs/>
        <w:color w:val="000000" w:themeColor="background1"/>
      </w:rPr>
      <w:tblPr/>
      <w:tcPr>
        <w:tcBorders>
          <w:bottom w:val="single" w:color="FFFFFF" w:themeColor="background1" w:sz="12" w:space="0"/>
        </w:tcBorders>
        <w:shd w:val="clear" w:color="auto" w:fill="F2730A" w:themeFill="accent6" w:themeFillShade="cc"/>
      </w:tcPr>
    </w:tblStylePr>
    <w:tblStylePr w:type="lastRow">
      <w:rPr>
        <w:b/>
        <w:bCs/>
        <w:color w:val="000000" w:themeColor="accent6"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EF4EC" w:themeFill="accent6" w:themeFillTint="19"/>
    </w:tcPr>
    <w:tblStylePr w:type="firstRow">
      <w:rPr>
        <w:b/>
        <w:bCs/>
        <w:color w:val="000000" w:themeColor="background1"/>
      </w:rPr>
      <w:tblPr/>
      <w:tcPr>
        <w:tcBorders>
          <w:bottom w:val="single" w:color="FFFFFF" w:themeColor="background1" w:sz="12" w:space="0"/>
        </w:tcBorders>
        <w:shd w:val="clear" w:color="auto" w:fill="348DA5" w:themeFill="accent5" w:themeFillShade="cc"/>
      </w:tcPr>
    </w:tblStylePr>
    <w:tblStylePr w:type="lastRow">
      <w:rPr>
        <w:b/>
        <w:bCs/>
        <w:color w:val="000000" w:themeColor="accent5"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0000" w:themeColor="background1"/>
      </w:rPr>
      <w:tblPr/>
      <w:tcPr>
        <w:shd w:val="clear" w:color="auto" w:fill="000000" w:themeFill="text1" w:themeFillShade="bf"/>
      </w:tcPr>
    </w:tblStylePr>
    <w:tblStylePr w:type="lastCol">
      <w:rPr>
        <w:color w:val="000000"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000000" w:themeColor="background1"/>
      </w:rPr>
      <w:tblPr/>
      <w:tcPr>
        <w:shd w:val="clear" w:color="auto" w:fill="365F91" w:themeFill="accent1" w:themeFillShade="bf"/>
      </w:tcPr>
    </w:tblStylePr>
    <w:tblStylePr w:type="lastCol">
      <w:rPr>
        <w:color w:val="000000"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000000" w:themeColor="background1"/>
      </w:rPr>
      <w:tblPr/>
      <w:tcPr>
        <w:shd w:val="clear" w:color="auto" w:fill="943634" w:themeFill="accent2" w:themeFillShade="bf"/>
      </w:tcPr>
    </w:tblStylePr>
    <w:tblStylePr w:type="lastCol">
      <w:rPr>
        <w:color w:val="000000"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000000" w:themeColor="background1"/>
      </w:rPr>
      <w:tblPr/>
      <w:tcPr>
        <w:shd w:val="clear" w:color="auto" w:fill="76923C" w:themeFill="accent3" w:themeFillShade="bf"/>
      </w:tcPr>
    </w:tblStylePr>
    <w:tblStylePr w:type="lastCol">
      <w:rPr>
        <w:color w:val="000000"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000000" w:themeColor="background1"/>
      </w:rPr>
      <w:tblPr/>
      <w:tcPr>
        <w:shd w:val="clear" w:color="auto" w:fill="5F497A" w:themeFill="accent4" w:themeFillShade="bf"/>
      </w:tcPr>
    </w:tblStylePr>
    <w:tblStylePr w:type="lastCol">
      <w:rPr>
        <w:color w:val="000000"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000000" w:themeColor="background1"/>
      </w:rPr>
      <w:tblPr/>
      <w:tcPr>
        <w:shd w:val="clear" w:color="auto" w:fill="31849B" w:themeFill="accent5" w:themeFillShade="bf"/>
      </w:tcPr>
    </w:tblStylePr>
    <w:tblStylePr w:type="lastCol">
      <w:rPr>
        <w:color w:val="000000"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000000" w:themeColor="background1"/>
      </w:rPr>
      <w:tblPr/>
      <w:tcPr>
        <w:shd w:val="clear" w:color="auto" w:fill="E36C0A" w:themeFill="accent6" w:themeFillShade="bf"/>
      </w:tcPr>
    </w:tblStylePr>
    <w:tblStylePr w:type="lastCol">
      <w:rPr>
        <w:color w:val="000000"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joseph.bulynko@gmail.com" TargetMode="External"/><Relationship Id="rId3" Type="http://schemas.openxmlformats.org/officeDocument/2006/relationships/hyperlink" Target="tel:+15715310061" TargetMode="External"/><Relationship Id="rId4" Type="http://schemas.openxmlformats.org/officeDocument/2006/relationships/hyperlink" Target="https://www.linkedin.com/in/joseph-bulynko" TargetMode="Externa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header" Target="header3.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oter" Target="footer3.xml"/><Relationship Id="rId11" Type="http://schemas.openxmlformats.org/officeDocument/2006/relationships/numbering" Target="numbering.xml"/><Relationship Id="rId12" Type="http://schemas.openxmlformats.org/officeDocument/2006/relationships/fontTable" Target="fontTable.xml"/><Relationship Id="rId13" Type="http://schemas.openxmlformats.org/officeDocument/2006/relationships/settings" Target="settings.xml"/><Relationship Id="rId14" Type="http://schemas.openxmlformats.org/officeDocument/2006/relationships/theme" Target="theme/theme1.xml"/><Relationship Id="rId15" Type="http://schemas.openxmlformats.org/officeDocument/2006/relationships/customXml" Target="../customXml/item1.xml"/>
<Relationship Id="rIdPortfolio20261023" Type="http://schemas.openxmlformats.org/officeDocument/2006/relationships/hyperlink" Target="https://joseph.wellne.ss/" TargetMode="External"/></Relationships>
</file>

<file path=word/_rels/footer2.xml.rels><?xml version="1.0" encoding="UTF-8"?>
<Relationships xmlns="http://schemas.openxmlformats.org/package/2006/relationships"><Relationship Id="rId1" Type="http://schemas.openxmlformats.org/officeDocument/2006/relationships/hyperlink" Target="tel:+15715310061" TargetMode="External"/><Relationship Id="rId2" Type="http://schemas.openxmlformats.org/officeDocument/2006/relationships/hyperlink" Target="mailto:joseph.bulynko@gmail.com" TargetMode="External"/><Relationship Id="rId3" Type="http://schemas.openxmlformats.org/officeDocument/2006/relationships/hyperlink" Target="https://www.linkedin.com/in/joseph-bulynko" TargetMode="External"/>
</Relationships>
</file>

<file path=word/_rels/footer3.xml.rels><?xml version="1.0" encoding="UTF-8"?>
<Relationships xmlns="http://schemas.openxmlformats.org/package/2006/relationships"><Relationship Id="rId1" Type="http://schemas.openxmlformats.org/officeDocument/2006/relationships/hyperlink" Target="tel:+15715310061" TargetMode="External"/><Relationship Id="rId2" Type="http://schemas.openxmlformats.org/officeDocument/2006/relationships/hyperlink" Target="mailto:joseph.bulynko@gmail.com" TargetMode="External"/><Relationship Id="rId3" Type="http://schemas.openxmlformats.org/officeDocument/2006/relationships/hyperlink" Target="https://www.linkedin.com/in/joseph-bulynko" TargetMode="Externa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81</TotalTime>
  <Application>LibreOffice/26.8.0.3$Windows_X86_64 LibreOffice_project/bce0998afefdbc355585ca324285661a2170ba77</Application>
  <AppVersion>15.0000</AppVersion>
  <Pages>5</Pages>
  <Words>2361</Words>
  <Characters>16593</Characters>
  <CharactersWithSpaces>18896</CharactersWithSpaces>
  <Paragraphs>96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Joseph Bulynko</dc:creator>
  <dc:description>generated by python-docx</dc:description>
  <cp:keywords>Product Management Platform Leadership FEMA Capital One Oracle MICROS NAVAIR</cp:keywords>
  <dc:language>en-US</dc:language>
  <cp:lastModifiedBy/>
  <dcterms:modified xsi:type="dcterms:W3CDTF">2026-10-01T09:30:21Z</dcterms:modified>
  <cp:revision>12</cp:revision>
  <dc:subject>Executive product management resume</dc:subject>
  <dc:title>Joseph Bulynko - Senior / Principal Product Manager Resume</dc:title>
</cp:coreProperties>
</file>

<file path=docProps/custom.xml><?xml version="1.0" encoding="utf-8"?>
<Properties xmlns="http://schemas.openxmlformats.org/officeDocument/2006/custom-properties" xmlns:vt="http://schemas.openxmlformats.org/officeDocument/2006/docPropsVTypes"/>
</file>